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PROCESSO LICITATÓRIO Nº 060/2018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PREGÃO PRESENCIAL Nº 035/2018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ATA DE REGISTRO DE PREÇOS Nº 026/2018.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PREGÃO Nº 035/2018.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PROCESSO Nº 060/2018.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VALIDADE: 12 meses.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Aos </w:t>
      </w:r>
      <w:r w:rsidR="00D228A9">
        <w:rPr>
          <w:rFonts w:ascii="Verdana" w:hAnsi="Verdana" w:cs="Arial"/>
          <w:sz w:val="21"/>
          <w:szCs w:val="21"/>
        </w:rPr>
        <w:t>25 (vinte e cinco) dias do mês de abril</w:t>
      </w:r>
      <w:r w:rsidRPr="00E50FAD">
        <w:rPr>
          <w:rFonts w:ascii="Verdana" w:hAnsi="Verdana" w:cs="Arial"/>
          <w:sz w:val="21"/>
          <w:szCs w:val="21"/>
        </w:rPr>
        <w:t xml:space="preserve"> de 2018, na sala de licitações, na sede da Prefeitura Municipal, situada na </w:t>
      </w:r>
      <w:r w:rsidR="00D228A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50FAD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06A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06A3">
        <w:rPr>
          <w:rFonts w:ascii="Verdana" w:hAnsi="Verdana" w:cs="Arial"/>
          <w:sz w:val="21"/>
          <w:szCs w:val="21"/>
        </w:rPr>
        <w:t>Filgueiras</w:t>
      </w:r>
      <w:proofErr w:type="spellEnd"/>
      <w:r w:rsidRPr="00E50FAD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035/2018 por deliberação do pregoeiro oficial e equipe de apoio, e por ele homologada conforme processo nº 060/2018 RESOLVE registrar os preços para os fornecimentos constantes nos anexos desta ata, beneficiário </w:t>
      </w:r>
      <w:r w:rsidR="001427E2" w:rsidRPr="001427E2">
        <w:rPr>
          <w:rFonts w:ascii="Verdana" w:hAnsi="Verdana" w:cs="Arial"/>
          <w:b/>
          <w:sz w:val="21"/>
          <w:szCs w:val="21"/>
        </w:rPr>
        <w:t>BH FARMA COMERCIO LTDA</w:t>
      </w:r>
      <w:r w:rsidR="001427E2">
        <w:rPr>
          <w:rFonts w:ascii="Verdana" w:hAnsi="Verdana" w:cs="Arial"/>
          <w:sz w:val="21"/>
          <w:szCs w:val="21"/>
        </w:rPr>
        <w:t xml:space="preserve">, </w:t>
      </w:r>
      <w:r w:rsidRPr="00E50FAD">
        <w:rPr>
          <w:rFonts w:ascii="Verdana" w:hAnsi="Verdana" w:cs="Arial"/>
          <w:sz w:val="21"/>
          <w:szCs w:val="21"/>
        </w:rPr>
        <w:t xml:space="preserve">localizado na </w:t>
      </w:r>
      <w:r w:rsidR="0070255A">
        <w:rPr>
          <w:rFonts w:ascii="Verdana" w:hAnsi="Verdana" w:cs="Arial"/>
          <w:sz w:val="21"/>
          <w:szCs w:val="21"/>
        </w:rPr>
        <w:t>Rua Simão Tamm, nº. 257, bairro Cachoeirinha, Belo Horizonte/MG, CEP 31.130-250</w:t>
      </w:r>
      <w:r w:rsidRPr="00E50FAD">
        <w:rPr>
          <w:rFonts w:ascii="Verdana" w:hAnsi="Verdana" w:cs="Arial"/>
          <w:sz w:val="21"/>
          <w:szCs w:val="21"/>
        </w:rPr>
        <w:t xml:space="preserve">, cujo CNPJ é </w:t>
      </w:r>
      <w:r w:rsidR="0070255A">
        <w:rPr>
          <w:rFonts w:ascii="Verdana" w:hAnsi="Verdana" w:cs="Arial"/>
          <w:sz w:val="21"/>
          <w:szCs w:val="21"/>
        </w:rPr>
        <w:t>42.799.163/0001-26</w:t>
      </w:r>
      <w:r w:rsidRPr="00E50FAD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70255A">
        <w:rPr>
          <w:rFonts w:ascii="Verdana" w:hAnsi="Verdana" w:cs="Arial"/>
          <w:sz w:val="21"/>
          <w:szCs w:val="21"/>
        </w:rPr>
        <w:t>Helio</w:t>
      </w:r>
      <w:proofErr w:type="spellEnd"/>
      <w:r w:rsidR="0070255A">
        <w:rPr>
          <w:rFonts w:ascii="Verdana" w:hAnsi="Verdana" w:cs="Arial"/>
          <w:sz w:val="21"/>
          <w:szCs w:val="21"/>
        </w:rPr>
        <w:t xml:space="preserve"> Alves Rocha, inscrito no CPF/MF sob o nº. 112.191.815-87</w:t>
      </w:r>
      <w:r w:rsidRPr="00E50FAD">
        <w:rPr>
          <w:rFonts w:ascii="Verdana" w:hAnsi="Verdana" w:cs="Arial"/>
          <w:sz w:val="21"/>
          <w:szCs w:val="21"/>
        </w:rPr>
        <w:t>, conforme quadro abaixo:</w:t>
      </w:r>
    </w:p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479"/>
        <w:gridCol w:w="827"/>
        <w:gridCol w:w="1305"/>
        <w:gridCol w:w="1041"/>
        <w:gridCol w:w="892"/>
        <w:gridCol w:w="1028"/>
        <w:gridCol w:w="892"/>
        <w:gridCol w:w="1094"/>
      </w:tblGrid>
      <w:tr w:rsidR="00646D4C" w:rsidRPr="00646D4C" w:rsidTr="00D5707A">
        <w:trPr>
          <w:trHeight w:val="180"/>
        </w:trPr>
        <w:tc>
          <w:tcPr>
            <w:tcW w:w="469" w:type="dxa"/>
            <w:vMerge w:val="restart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48" w:type="dxa"/>
            <w:gridSpan w:val="7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1" w:type="dxa"/>
            <w:gridSpan w:val="3"/>
            <w:shd w:val="clear" w:color="000000" w:fill="BFBFB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58" w:type="dxa"/>
            <w:gridSpan w:val="2"/>
            <w:shd w:val="clear" w:color="000000" w:fill="BFBFB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9" w:type="dxa"/>
            <w:gridSpan w:val="2"/>
            <w:shd w:val="clear" w:color="000000" w:fill="BFBFB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05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0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4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015575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4"/>
                <w:szCs w:val="14"/>
              </w:rPr>
              <w:t>D</w:t>
            </w:r>
            <w:r w:rsidR="00646D4C"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eslanosídeo</w:t>
            </w:r>
            <w:proofErr w:type="spellEnd"/>
            <w:r w:rsidR="00646D4C"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0,2 mg/ml ampola 2ml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1,3000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6.500,00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ergometrina</w:t>
            </w:r>
            <w:proofErr w:type="gramEnd"/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ampola 0,2mg /ml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1,3800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690,00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690,00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3.450,00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ÁCIDO VALPRÓICO 250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0,2090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3.135,00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3.135,00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15.675,00</w:t>
            </w:r>
          </w:p>
        </w:tc>
      </w:tr>
      <w:tr w:rsidR="00646D4C" w:rsidRPr="00646D4C" w:rsidTr="00D5707A">
        <w:trPr>
          <w:trHeight w:val="10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AMOXICILINA + CLAVULANATO DE POTÁSSIO SUSPENSÃO ORAL 50 MG + 12,5 MG/ML - FRASCO COM 75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150.000,00</w:t>
            </w:r>
          </w:p>
        </w:tc>
      </w:tr>
      <w:tr w:rsidR="00646D4C" w:rsidRPr="00646D4C" w:rsidTr="00D5707A">
        <w:trPr>
          <w:trHeight w:val="54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CARBAMAZEPINA 2% SUSPENSÃO ORAL - FRASCO COM 100 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10,9700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3.291,00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3.291,00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16.455,00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CARVEDILOL 12,5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0,1200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CARVEDILOL 3,125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0,0880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4.400,00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4.400,00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22.000,00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CITALOPRAM 20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0,1600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8.000,00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HALOPERIDOL 2MG/ML – FRASCO COM 20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2,3600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472,00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472,00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2.360,00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HALOPERIDOL COMPRIMIDO 5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0,0940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1.410,00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1.410,00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7.050,00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197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LOSARTANA POTASSICA 25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0,2300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115.000,00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NORESTISTERONA 0,35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0,1650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165,00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165,00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825,00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OXCARBAZEPINA 300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0,6940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3.470,00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3.470,00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17.350,00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OXCARBAZEPINA 600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1,0700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5.350,00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5.350,00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26.750,00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RISPERIDONA 1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0,1400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3.500,00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RISPERIDONA 2MG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0,1450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725,00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725,00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3.625,00</w:t>
            </w:r>
          </w:p>
        </w:tc>
      </w:tr>
      <w:tr w:rsidR="00646D4C" w:rsidRPr="00646D4C" w:rsidTr="00D5707A">
        <w:trPr>
          <w:trHeight w:val="36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SINVASTATINA COMPRIMIDO 20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0,0590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8.850,00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8.850,00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750000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44.250,00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VENLAFAXINA 150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135.000,00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VENLAFAXINA 75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0,7700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23.100,00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23.100,00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115.500,00</w:t>
            </w:r>
          </w:p>
        </w:tc>
      </w:tr>
      <w:tr w:rsidR="00646D4C" w:rsidRPr="00646D4C" w:rsidTr="00D5707A">
        <w:trPr>
          <w:trHeight w:val="18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FLUMAZENIL 0,1 MG/ML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646D4C" w:rsidRPr="00646D4C" w:rsidRDefault="00646D4C" w:rsidP="00646D4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11,0000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220.000,00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220.000,00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646D4C" w:rsidRPr="00646D4C" w:rsidRDefault="00646D4C" w:rsidP="00015575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646D4C">
              <w:rPr>
                <w:rFonts w:ascii="Verdana" w:hAnsi="Verdana" w:cs="Times New Roman"/>
                <w:color w:val="000000"/>
                <w:sz w:val="14"/>
                <w:szCs w:val="14"/>
              </w:rPr>
              <w:t>1.100.000,00</w:t>
            </w:r>
          </w:p>
        </w:tc>
      </w:tr>
    </w:tbl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E50FAD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03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04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035/2018.</w:t>
      </w:r>
    </w:p>
    <w:p w:rsidR="006E6714" w:rsidRPr="00E50FAD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</w:t>
      </w:r>
      <w:r w:rsidRPr="00E50FAD">
        <w:rPr>
          <w:rFonts w:ascii="Verdana" w:hAnsi="Verdana"/>
          <w:sz w:val="21"/>
          <w:szCs w:val="21"/>
        </w:rPr>
        <w:lastRenderedPageBreak/>
        <w:t>Edital do Pregão nº 035/2018, que integra o presente instrumento de compromisso.</w:t>
      </w:r>
    </w:p>
    <w:p w:rsidR="006E6714" w:rsidRPr="00E50FAD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035/2018 pelas empresas detentoras da presente Ata, as quais também a integram.</w:t>
      </w:r>
    </w:p>
    <w:p w:rsidR="006E6714" w:rsidRPr="00E50FAD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05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06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0FAD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E50FAD">
        <w:rPr>
          <w:rFonts w:ascii="Verdana" w:hAnsi="Verdana"/>
          <w:sz w:val="21"/>
          <w:szCs w:val="21"/>
        </w:rPr>
        <w:t>definitivo pela unidade requisitante</w:t>
      </w:r>
      <w:r w:rsidRPr="00E50FAD">
        <w:rPr>
          <w:rFonts w:ascii="Verdana" w:hAnsi="Verdana"/>
          <w:bCs/>
          <w:sz w:val="21"/>
          <w:szCs w:val="21"/>
        </w:rPr>
        <w:t xml:space="preserve"> do objeto, </w:t>
      </w:r>
      <w:r w:rsidRPr="00E50FAD">
        <w:rPr>
          <w:rFonts w:ascii="Verdana" w:hAnsi="Verdana"/>
          <w:sz w:val="21"/>
          <w:szCs w:val="21"/>
        </w:rPr>
        <w:t>mediante apresentação da Nota Fiscal.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</w:t>
      </w:r>
      <w:r w:rsidRPr="00E50FAD">
        <w:rPr>
          <w:rFonts w:ascii="Verdana" w:hAnsi="Verdana"/>
          <w:sz w:val="21"/>
          <w:szCs w:val="21"/>
        </w:rPr>
        <w:lastRenderedPageBreak/>
        <w:t xml:space="preserve">taxa de 0,5% (meio por cento) ao mês, ou 6% (seis por cento) ao ano, mediante aplicação da seguinte formula: 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I= (TX/100)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07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E50FAD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IV </w:t>
      </w:r>
      <w:r w:rsidRPr="00E50FAD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 </w:t>
      </w:r>
      <w:r w:rsidRPr="00E50FAD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 </w:t>
      </w:r>
      <w:r w:rsidRPr="00E50FAD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 </w:t>
      </w:r>
      <w:r w:rsidRPr="00E50FAD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E50FAD">
        <w:rPr>
          <w:rFonts w:ascii="Verdana" w:hAnsi="Verdana"/>
          <w:sz w:val="21"/>
          <w:szCs w:val="21"/>
        </w:rPr>
        <w:t>IX</w:t>
      </w:r>
      <w:r w:rsidR="009F5698" w:rsidRPr="00E50FAD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lastRenderedPageBreak/>
        <w:t xml:space="preserve">08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50FAD">
        <w:rPr>
          <w:rFonts w:ascii="Verdana" w:hAnsi="Verdana"/>
          <w:sz w:val="21"/>
          <w:szCs w:val="21"/>
        </w:rPr>
        <w:t>á</w:t>
      </w:r>
      <w:proofErr w:type="spellEnd"/>
      <w:r w:rsidRPr="00E50FAD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A) Advertência;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E50FA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50FA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descumprimento de cláusula contratual.</w:t>
      </w:r>
    </w:p>
    <w:p w:rsidR="006E6714" w:rsidRPr="00E50FAD" w:rsidRDefault="006E6714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- </w:t>
      </w:r>
      <w:r w:rsidRPr="00E50FAD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>V</w:t>
      </w:r>
      <w:r w:rsidR="000828FC" w:rsidRPr="00E50FAD">
        <w:rPr>
          <w:rFonts w:ascii="Verdana" w:hAnsi="Verdana"/>
          <w:sz w:val="21"/>
          <w:szCs w:val="21"/>
        </w:rPr>
        <w:t>I –</w:t>
      </w:r>
      <w:r w:rsidRPr="00E50FAD">
        <w:rPr>
          <w:rFonts w:ascii="Verdana" w:hAnsi="Verdana"/>
          <w:sz w:val="21"/>
          <w:szCs w:val="21"/>
        </w:rPr>
        <w:t xml:space="preserve"> O licitante que não respeitar o limite do Preço Fabricante conforme Orientação Interpretativa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E50FAD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E50FAD">
        <w:rPr>
          <w:rFonts w:ascii="Verdana" w:hAnsi="Verdana"/>
          <w:sz w:val="21"/>
          <w:szCs w:val="21"/>
        </w:rPr>
        <w:t>e Ministério Públicos Federal e Estadual.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09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035/2018, que integra a presente Ata de Registro de Preços, ressalvados os casos de revisão de registro a que se refere o Decreto instituidor do Registro de preços.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10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E50FAD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E50FAD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B </w:t>
      </w:r>
      <w:r w:rsidRPr="00E50FAD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C </w:t>
      </w:r>
      <w:r w:rsidRPr="00E50FAD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D </w:t>
      </w:r>
      <w:r w:rsidRPr="00E50FAD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E50FAD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 </w:t>
      </w:r>
      <w:r w:rsidRPr="00E50FAD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 xml:space="preserve">F </w:t>
      </w:r>
      <w:r w:rsidRPr="00E50FAD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G </w:t>
      </w:r>
      <w:r w:rsidRPr="00E50FA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E50FAD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b/>
          <w:sz w:val="21"/>
          <w:szCs w:val="21"/>
        </w:rPr>
        <w:t>Pelas detentoras, quando</w:t>
      </w:r>
      <w:r w:rsidRPr="00E50FA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E50FAD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E50FAD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</w:t>
      </w:r>
      <w:r w:rsidRPr="00E50FAD">
        <w:rPr>
          <w:rFonts w:ascii="Verdana" w:hAnsi="Verdana"/>
          <w:b/>
          <w:sz w:val="21"/>
          <w:szCs w:val="21"/>
        </w:rPr>
        <w:t xml:space="preserve"> </w:t>
      </w:r>
      <w:r w:rsidRPr="00E50FAD">
        <w:rPr>
          <w:rFonts w:ascii="Verdana" w:hAnsi="Verdana"/>
          <w:b/>
          <w:sz w:val="21"/>
          <w:szCs w:val="21"/>
        </w:rPr>
        <w:noBreakHyphen/>
      </w:r>
      <w:r w:rsidRPr="00E50FAD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E50FAD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14.1. Integram esta Ata, o edital do Pregão nº 035/2018 e as propostas das empresas classificadas no certame supranumerado.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Papagaios, </w:t>
      </w:r>
      <w:r w:rsidR="0070255A">
        <w:rPr>
          <w:rFonts w:ascii="Verdana" w:hAnsi="Verdana"/>
          <w:sz w:val="21"/>
          <w:szCs w:val="21"/>
        </w:rPr>
        <w:t>25 de abril de 2018.</w:t>
      </w: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50FAD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70255A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BH Farma Comercio Ltda</w:t>
      </w:r>
    </w:p>
    <w:p w:rsidR="006E6714" w:rsidRPr="00E50FAD" w:rsidRDefault="0070255A" w:rsidP="0070255A">
      <w:pPr>
        <w:pStyle w:val="Corpodetexto"/>
        <w:spacing w:after="0" w:line="200" w:lineRule="atLeast"/>
        <w:jc w:val="center"/>
      </w:pPr>
      <w:r>
        <w:rPr>
          <w:rFonts w:ascii="Verdana" w:hAnsi="Verdana" w:cs="Arial"/>
          <w:sz w:val="21"/>
          <w:szCs w:val="21"/>
        </w:rPr>
        <w:t>CNPJ/MF 42.799.163/0001-26</w:t>
      </w:r>
      <w:bookmarkStart w:id="1" w:name="_GoBack"/>
      <w:bookmarkEnd w:id="1"/>
    </w:p>
    <w:sectPr w:rsidR="006E6714" w:rsidRPr="00E50FA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B" w:rsidRDefault="00D9205B">
      <w:r>
        <w:separator/>
      </w:r>
    </w:p>
  </w:endnote>
  <w:endnote w:type="continuationSeparator" w:id="0">
    <w:p w:rsidR="00D9205B" w:rsidRDefault="00D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5B" w:rsidRDefault="00D9205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B" w:rsidRDefault="00D9205B">
      <w:r>
        <w:separator/>
      </w:r>
    </w:p>
  </w:footnote>
  <w:footnote w:type="continuationSeparator" w:id="0">
    <w:p w:rsidR="00D9205B" w:rsidRDefault="00D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9205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205B" w:rsidRDefault="00D9205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205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205B" w:rsidRDefault="00D9205B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15575"/>
    <w:rsid w:val="000828FC"/>
    <w:rsid w:val="001427E2"/>
    <w:rsid w:val="001F7F03"/>
    <w:rsid w:val="004E565F"/>
    <w:rsid w:val="005F323E"/>
    <w:rsid w:val="00646D4C"/>
    <w:rsid w:val="006E6714"/>
    <w:rsid w:val="006F4E29"/>
    <w:rsid w:val="0070255A"/>
    <w:rsid w:val="009F5698"/>
    <w:rsid w:val="00A706A3"/>
    <w:rsid w:val="00D228A9"/>
    <w:rsid w:val="00D5707A"/>
    <w:rsid w:val="00D9205B"/>
    <w:rsid w:val="00DE2353"/>
    <w:rsid w:val="00E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2433</Words>
  <Characters>13140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2018-05-16T14:08:00Z</cp:lastPrinted>
  <dcterms:created xsi:type="dcterms:W3CDTF">2018-05-16T16:02:00Z</dcterms:created>
  <dcterms:modified xsi:type="dcterms:W3CDTF">2018-05-16T19:29:00Z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