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2" w:rsidRPr="00402843" w:rsidRDefault="00890C02" w:rsidP="003549D5">
      <w:pPr>
        <w:jc w:val="both"/>
        <w:rPr>
          <w:rFonts w:ascii="Verdana" w:hAnsi="Verdana"/>
          <w:b/>
          <w:sz w:val="21"/>
          <w:szCs w:val="21"/>
        </w:rPr>
      </w:pPr>
      <w:r w:rsidRPr="00402843">
        <w:rPr>
          <w:rFonts w:ascii="Verdana" w:hAnsi="Verdana"/>
          <w:b/>
          <w:sz w:val="21"/>
          <w:szCs w:val="21"/>
        </w:rPr>
        <w:t xml:space="preserve">PROCESSO LICITATÓRIO Nº </w:t>
      </w:r>
      <w:r w:rsidR="00C6122A" w:rsidRPr="00402843">
        <w:rPr>
          <w:rFonts w:ascii="Verdana" w:hAnsi="Verdana"/>
          <w:b/>
          <w:sz w:val="21"/>
          <w:szCs w:val="21"/>
        </w:rPr>
        <w:t>062/2019</w:t>
      </w: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C6122A" w:rsidRPr="00402843">
        <w:rPr>
          <w:rFonts w:ascii="Verdana" w:hAnsi="Verdana" w:cs="Arial"/>
          <w:b/>
          <w:sz w:val="21"/>
          <w:szCs w:val="21"/>
        </w:rPr>
        <w:t>062/2019</w:t>
      </w: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ATA DE REGISTRO DE PREÇOS Nº </w:t>
      </w:r>
      <w:r w:rsidR="005872F6" w:rsidRPr="00402843">
        <w:rPr>
          <w:rFonts w:ascii="Verdana" w:hAnsi="Verdana" w:cs="Arial"/>
          <w:sz w:val="21"/>
          <w:szCs w:val="21"/>
        </w:rPr>
        <w:t>034</w:t>
      </w:r>
      <w:r w:rsidR="00083D59" w:rsidRPr="00402843">
        <w:rPr>
          <w:rFonts w:ascii="Verdana" w:hAnsi="Verdana" w:cs="Arial"/>
          <w:sz w:val="21"/>
          <w:szCs w:val="21"/>
        </w:rPr>
        <w:t>/2019</w:t>
      </w:r>
      <w:r w:rsidRPr="00402843">
        <w:rPr>
          <w:rFonts w:ascii="Verdana" w:hAnsi="Verdana" w:cs="Arial"/>
          <w:sz w:val="21"/>
          <w:szCs w:val="21"/>
        </w:rPr>
        <w:t>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PREGÃO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>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PROCESSO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>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VALIDADE: 12 meses.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Aos </w:t>
      </w:r>
      <w:r w:rsidR="007870AE" w:rsidRPr="00402843">
        <w:rPr>
          <w:rFonts w:ascii="Verdana" w:hAnsi="Verdana" w:cs="Arial"/>
          <w:sz w:val="21"/>
          <w:szCs w:val="21"/>
          <w:lang w:val="pt-BR"/>
        </w:rPr>
        <w:t>19 (dezenove)</w:t>
      </w:r>
      <w:r w:rsidRPr="00402843">
        <w:rPr>
          <w:rFonts w:ascii="Verdana" w:hAnsi="Verdana" w:cs="Arial"/>
          <w:sz w:val="21"/>
          <w:szCs w:val="21"/>
        </w:rPr>
        <w:t xml:space="preserve"> dias do mês de </w:t>
      </w:r>
      <w:r w:rsidR="007870AE" w:rsidRPr="00402843">
        <w:rPr>
          <w:rFonts w:ascii="Verdana" w:hAnsi="Verdana" w:cs="Arial"/>
          <w:sz w:val="21"/>
          <w:szCs w:val="21"/>
          <w:lang w:val="pt-BR"/>
        </w:rPr>
        <w:t xml:space="preserve">junho </w:t>
      </w:r>
      <w:r w:rsidRPr="00402843">
        <w:rPr>
          <w:rFonts w:ascii="Verdana" w:hAnsi="Verdana" w:cs="Arial"/>
          <w:sz w:val="21"/>
          <w:szCs w:val="21"/>
        </w:rPr>
        <w:t xml:space="preserve">de </w:t>
      </w:r>
      <w:r w:rsidR="008A1175" w:rsidRPr="00402843">
        <w:rPr>
          <w:rFonts w:ascii="Verdana" w:hAnsi="Verdana" w:cs="Arial"/>
          <w:sz w:val="21"/>
          <w:szCs w:val="21"/>
          <w:lang w:val="pt-BR"/>
        </w:rPr>
        <w:t>2019</w:t>
      </w:r>
      <w:r w:rsidRPr="00402843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BA13A8" w:rsidRPr="00402843">
        <w:rPr>
          <w:rFonts w:ascii="Verdana" w:hAnsi="Verdana" w:cs="Arial"/>
          <w:sz w:val="21"/>
          <w:szCs w:val="21"/>
          <w:lang w:val="pt-BR"/>
        </w:rPr>
        <w:t>Avenida Francisco Valadares da Fonseca, nº. 250, Vasco Lopes, Papagaios/MG, CEP 35.669-000</w:t>
      </w:r>
      <w:r w:rsidRPr="00402843">
        <w:rPr>
          <w:rFonts w:ascii="Verdana" w:hAnsi="Verdana" w:cs="Arial"/>
          <w:sz w:val="21"/>
          <w:szCs w:val="21"/>
        </w:rPr>
        <w:t>, o Exm</w:t>
      </w:r>
      <w:r w:rsidR="00433B3B" w:rsidRPr="00402843">
        <w:rPr>
          <w:rFonts w:ascii="Verdana" w:hAnsi="Verdana" w:cs="Arial"/>
          <w:sz w:val="21"/>
          <w:szCs w:val="21"/>
        </w:rPr>
        <w:t>o. Sr. Prefeito Municipal, Sr.</w:t>
      </w:r>
      <w:r w:rsidR="00433B3B" w:rsidRPr="00402843">
        <w:rPr>
          <w:rFonts w:ascii="Verdana" w:hAnsi="Verdana" w:cs="Arial"/>
          <w:sz w:val="21"/>
          <w:szCs w:val="21"/>
          <w:lang w:val="pt-BR"/>
        </w:rPr>
        <w:t xml:space="preserve"> Mário Reis Filgueiras</w:t>
      </w:r>
      <w:r w:rsidRPr="00402843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491C72" w:rsidRPr="00491C72">
        <w:rPr>
          <w:rFonts w:ascii="Verdana" w:hAnsi="Verdana" w:cs="Arial"/>
          <w:b/>
          <w:sz w:val="21"/>
          <w:szCs w:val="21"/>
          <w:lang w:val="pt-BR"/>
        </w:rPr>
        <w:t>LEOCINHO TRANSPORTES EIRELI ME</w:t>
      </w:r>
      <w:r w:rsidRPr="00402843">
        <w:rPr>
          <w:rFonts w:ascii="Verdana" w:hAnsi="Verdana" w:cs="Arial"/>
          <w:sz w:val="21"/>
          <w:szCs w:val="21"/>
        </w:rPr>
        <w:t xml:space="preserve">, localizado na </w:t>
      </w:r>
      <w:r w:rsidR="00491C72">
        <w:rPr>
          <w:rFonts w:ascii="Verdana" w:hAnsi="Verdana" w:cs="Arial"/>
          <w:sz w:val="21"/>
          <w:szCs w:val="21"/>
          <w:lang w:val="pt-BR"/>
        </w:rPr>
        <w:t>Avenida Artur da Silva Bernardes, nº. 10, Centro, Papagaios/MG, CEP 35.669-000</w:t>
      </w:r>
      <w:r w:rsidRPr="00402843">
        <w:rPr>
          <w:rFonts w:ascii="Verdana" w:hAnsi="Verdana" w:cs="Arial"/>
          <w:sz w:val="21"/>
          <w:szCs w:val="21"/>
        </w:rPr>
        <w:t xml:space="preserve">, cujo CNPJ é </w:t>
      </w:r>
      <w:r w:rsidR="00491C72">
        <w:rPr>
          <w:rFonts w:ascii="Verdana" w:hAnsi="Verdana" w:cs="Arial"/>
          <w:sz w:val="21"/>
          <w:szCs w:val="21"/>
          <w:lang w:val="pt-BR"/>
        </w:rPr>
        <w:t>26.617.194/0001-62</w:t>
      </w:r>
      <w:r w:rsidRPr="00402843">
        <w:rPr>
          <w:rFonts w:ascii="Verdana" w:hAnsi="Verdana" w:cs="Arial"/>
          <w:sz w:val="21"/>
          <w:szCs w:val="21"/>
        </w:rPr>
        <w:t xml:space="preserve">, neste ato representado por </w:t>
      </w:r>
      <w:r w:rsidR="00491C72">
        <w:rPr>
          <w:rFonts w:ascii="Verdana" w:hAnsi="Verdana" w:cs="Arial"/>
          <w:sz w:val="21"/>
          <w:szCs w:val="21"/>
          <w:lang w:val="pt-BR"/>
        </w:rPr>
        <w:t>Leoncio Ribeiro de Abreu, inscrito no CPF/MF sob o nº. 746.432.406-44</w:t>
      </w:r>
      <w:r w:rsidRPr="00402843">
        <w:rPr>
          <w:rFonts w:ascii="Verdana" w:hAnsi="Verdana" w:cs="Arial"/>
          <w:sz w:val="21"/>
          <w:szCs w:val="21"/>
        </w:rPr>
        <w:t>, conforme quadro abaixo:</w:t>
      </w:r>
    </w:p>
    <w:p w:rsidR="00890C02" w:rsidRPr="00402843" w:rsidRDefault="00890C02" w:rsidP="003549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38"/>
        <w:gridCol w:w="843"/>
        <w:gridCol w:w="940"/>
        <w:gridCol w:w="1119"/>
        <w:gridCol w:w="1059"/>
        <w:gridCol w:w="1013"/>
        <w:gridCol w:w="886"/>
        <w:gridCol w:w="1180"/>
      </w:tblGrid>
      <w:tr w:rsidR="00DE2115" w:rsidRPr="00DE2115" w:rsidTr="00F340FF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ITEM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DESCRIÇÃO DO ITEM</w:t>
            </w:r>
          </w:p>
        </w:tc>
        <w:tc>
          <w:tcPr>
            <w:tcW w:w="7040" w:type="dxa"/>
            <w:gridSpan w:val="7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QUANTIDADE/ VALOR</w:t>
            </w:r>
          </w:p>
        </w:tc>
      </w:tr>
      <w:tr w:rsidR="00DE2115" w:rsidRPr="00DE2115" w:rsidTr="00F340FF">
        <w:trPr>
          <w:trHeight w:val="20"/>
        </w:trPr>
        <w:tc>
          <w:tcPr>
            <w:tcW w:w="580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02" w:type="dxa"/>
            <w:gridSpan w:val="3"/>
            <w:shd w:val="clear" w:color="000000" w:fill="BFBFBF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Órgão gerenciador</w:t>
            </w:r>
          </w:p>
        </w:tc>
        <w:tc>
          <w:tcPr>
            <w:tcW w:w="2072" w:type="dxa"/>
            <w:gridSpan w:val="2"/>
            <w:shd w:val="clear" w:color="000000" w:fill="BFBFBF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Total a ser registrada e limite por adesão</w:t>
            </w:r>
          </w:p>
        </w:tc>
        <w:tc>
          <w:tcPr>
            <w:tcW w:w="2066" w:type="dxa"/>
            <w:gridSpan w:val="2"/>
            <w:shd w:val="clear" w:color="000000" w:fill="BFBFBF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Limite decorrente de adesões</w:t>
            </w:r>
          </w:p>
        </w:tc>
      </w:tr>
      <w:tr w:rsidR="00F340FF" w:rsidRPr="00DE2115" w:rsidTr="00F340FF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3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Qtde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 xml:space="preserve"> Valor Unitário </w:t>
            </w:r>
          </w:p>
        </w:tc>
        <w:tc>
          <w:tcPr>
            <w:tcW w:w="1119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1059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013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  <w:tc>
          <w:tcPr>
            <w:tcW w:w="886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Qtde.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Valor Total</w:t>
            </w:r>
          </w:p>
        </w:tc>
      </w:tr>
      <w:tr w:rsidR="00DE2115" w:rsidRPr="00DE2115" w:rsidTr="00F340FF">
        <w:trPr>
          <w:trHeight w:val="182"/>
        </w:trPr>
        <w:tc>
          <w:tcPr>
            <w:tcW w:w="580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19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013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DE2115" w:rsidRPr="00DE2115" w:rsidRDefault="00DE2115" w:rsidP="00DE2115">
            <w:pPr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</w:tr>
      <w:tr w:rsidR="00F340FF" w:rsidRPr="00DE2115" w:rsidTr="00F340FF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  <w:lang w:val="x-none"/>
              </w:rPr>
              <w:t>TRANSPORTE EVENTUAL  EM VEICULO TIPO MICROONIBUS PARA SUPRIR IMPEDIMENTOS DE PREST. DOS SERVIÇOS PELOS VEICULOS PROPRIOS DA ADMINISTRAÇÃO,ANO DO VEICULO A PARTIR DE 2005, EM PERFEITAS CONDIÇÕES DE USO CONFORME EXIGENCIAS DO ORGÃO RESPONSAVEL, COM SEGURO PARA PASSAGEIROS, COM MOTORISTA E MANUTENÇÃO POR CONTA DO CONTRATO, VEICULO COM NO MÍNIMO 21 LUGARES.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eastAsia="Arial Unicode MS" w:hAnsi="Verdana"/>
                <w:color w:val="000000"/>
                <w:sz w:val="15"/>
                <w:szCs w:val="15"/>
              </w:rPr>
              <w:t>30.000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3,90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117.000,00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30000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117.000,00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150</w:t>
            </w:r>
            <w:r w:rsidR="00F340FF">
              <w:rPr>
                <w:rFonts w:ascii="Verdana" w:hAnsi="Verdana"/>
                <w:color w:val="000000"/>
                <w:sz w:val="15"/>
                <w:szCs w:val="15"/>
              </w:rPr>
              <w:t>.</w:t>
            </w: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585.000,00</w:t>
            </w:r>
          </w:p>
        </w:tc>
      </w:tr>
      <w:tr w:rsidR="00F340FF" w:rsidRPr="00DE2115" w:rsidTr="00F340FF">
        <w:trPr>
          <w:trHeight w:val="2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  <w:lang w:val="x-none"/>
              </w:rPr>
              <w:t>TRANSPORTE EVENTUAL  EM VEICULO TIPO ONIBUS PARA SUPRIR IMPEDIMENTOS DE PREST. DOS SERVIÇOS PELOS VEICULOS PROPRIOS DA ADMINISTRAÇÃO,ANO DO VEICULO A PARTIR DE 2005, EM PERFEITAS CONDIÇÕES DE USO CONFORME EXIGENCIAS DO ORGÃO RESPONSAVEL, COM SEGURO PARA PASSAGEIROS, COM MOTORISTA E MANUTENÇÃO POR CONTA DO CONTRATO, VEICULO COM NO MÍNIMO 49 LUGARES.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:rsidR="00DE2115" w:rsidRPr="00DE2115" w:rsidRDefault="00DE2115" w:rsidP="00DE2115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eastAsia="Arial Unicode MS" w:hAnsi="Verdana"/>
                <w:color w:val="000000"/>
                <w:sz w:val="15"/>
                <w:szCs w:val="15"/>
              </w:rPr>
              <w:t>50.000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4,65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232.500,00</w:t>
            </w:r>
          </w:p>
        </w:tc>
        <w:tc>
          <w:tcPr>
            <w:tcW w:w="1059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50000</w:t>
            </w:r>
          </w:p>
        </w:tc>
        <w:tc>
          <w:tcPr>
            <w:tcW w:w="1013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232.500,00</w:t>
            </w:r>
          </w:p>
        </w:tc>
        <w:tc>
          <w:tcPr>
            <w:tcW w:w="886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250000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115" w:rsidRPr="00DE2115" w:rsidRDefault="00DE2115" w:rsidP="00F340FF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 w:rsidRPr="00DE2115">
              <w:rPr>
                <w:rFonts w:ascii="Verdana" w:hAnsi="Verdana"/>
                <w:color w:val="000000"/>
                <w:sz w:val="15"/>
                <w:szCs w:val="15"/>
              </w:rPr>
              <w:t>1.162.500,00</w:t>
            </w:r>
          </w:p>
        </w:tc>
      </w:tr>
    </w:tbl>
    <w:p w:rsidR="00890C02" w:rsidRPr="00402843" w:rsidRDefault="00890C02" w:rsidP="003549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01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/>
          <w:sz w:val="21"/>
          <w:szCs w:val="21"/>
        </w:rPr>
        <w:t xml:space="preserve">I </w:t>
      </w:r>
      <w:r w:rsidRPr="00402843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9A49BF">
        <w:rPr>
          <w:rFonts w:ascii="Verdana" w:hAnsi="Verdana"/>
          <w:sz w:val="21"/>
          <w:szCs w:val="21"/>
          <w:lang w:val="pt-BR"/>
        </w:rPr>
        <w:t>do quadro cima</w:t>
      </w:r>
      <w:r w:rsidRPr="00402843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890C02" w:rsidRPr="00402843" w:rsidRDefault="00890C02" w:rsidP="003549D5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02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90C02" w:rsidRPr="00402843" w:rsidRDefault="00890C02" w:rsidP="003549D5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03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04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>.</w:t>
      </w:r>
    </w:p>
    <w:p w:rsidR="00890C02" w:rsidRPr="00402843" w:rsidRDefault="00890C02" w:rsidP="003549D5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90C02" w:rsidRPr="00402843" w:rsidRDefault="00890C02" w:rsidP="003549D5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90C02" w:rsidRPr="00402843" w:rsidRDefault="00890C02" w:rsidP="003549D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05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DO LOCAL E PRAZO DA PRESTAÇÃO DOS SERVIÇOS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I – O veículo/máquina devidamente abastecido e com motorista/operador será colocado a disposição da Prefeitura na sede do município de Papagaios/MG, em até 5 (cinco) dias a contar do recebimento da requisição emitida pelo setor de compras.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06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I </w:t>
      </w:r>
      <w:r w:rsidRPr="00402843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02843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402843">
        <w:rPr>
          <w:rFonts w:ascii="Verdana" w:hAnsi="Verdana" w:cs="Verdana"/>
          <w:sz w:val="21"/>
          <w:szCs w:val="21"/>
        </w:rPr>
        <w:t>definitivo pela unidade requisitante</w:t>
      </w:r>
      <w:r w:rsidRPr="00402843">
        <w:rPr>
          <w:rFonts w:ascii="Verdana" w:hAnsi="Verdana" w:cs="Verdana"/>
          <w:bCs/>
          <w:sz w:val="21"/>
          <w:szCs w:val="21"/>
        </w:rPr>
        <w:t xml:space="preserve"> do objeto, </w:t>
      </w:r>
      <w:r w:rsidRPr="00402843">
        <w:rPr>
          <w:rFonts w:ascii="Verdana" w:hAnsi="Verdana" w:cs="Verdana"/>
          <w:sz w:val="21"/>
          <w:szCs w:val="21"/>
        </w:rPr>
        <w:t>mediante apresentação da Nota Fiscal.</w:t>
      </w:r>
    </w:p>
    <w:p w:rsidR="00C6185B" w:rsidRPr="00402843" w:rsidRDefault="00C6185B" w:rsidP="003549D5">
      <w:pPr>
        <w:jc w:val="both"/>
        <w:rPr>
          <w:rFonts w:ascii="Verdana" w:hAnsi="Verdana" w:cs="Verdana"/>
          <w:bCs/>
          <w:sz w:val="21"/>
          <w:szCs w:val="21"/>
        </w:rPr>
      </w:pP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402843">
        <w:rPr>
          <w:rFonts w:ascii="Verdana" w:hAnsi="Verdana" w:cs="Calibri"/>
          <w:sz w:val="21"/>
          <w:szCs w:val="21"/>
        </w:rPr>
        <w:t xml:space="preserve">II </w:t>
      </w:r>
      <w:r w:rsidRPr="00402843">
        <w:rPr>
          <w:rFonts w:ascii="Verdana" w:hAnsi="Verdana" w:cs="Verdana"/>
          <w:sz w:val="21"/>
          <w:szCs w:val="21"/>
        </w:rPr>
        <w:noBreakHyphen/>
        <w:t xml:space="preserve"> </w:t>
      </w:r>
      <w:r w:rsidRPr="00402843">
        <w:rPr>
          <w:rFonts w:ascii="Verdana" w:hAnsi="Verdana" w:cs="Calibri"/>
          <w:sz w:val="21"/>
          <w:szCs w:val="21"/>
        </w:rPr>
        <w:t>A Nota Fiscal /Fatura Discriminativa deverá ser apresentada conforme descrito no Anexo III – Termo de referência;</w:t>
      </w: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402843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 III – Termo de Referência, conforme Nota Fiscal.</w:t>
      </w: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402843">
        <w:rPr>
          <w:rFonts w:ascii="Verdana" w:hAnsi="Verdana" w:cs="Calibri"/>
          <w:sz w:val="21"/>
          <w:szCs w:val="21"/>
        </w:rPr>
        <w:t xml:space="preserve">IV </w:t>
      </w:r>
      <w:r w:rsidRPr="00402843">
        <w:rPr>
          <w:rFonts w:ascii="Verdana" w:hAnsi="Verdana" w:cs="Verdana"/>
          <w:sz w:val="21"/>
          <w:szCs w:val="21"/>
        </w:rPr>
        <w:noBreakHyphen/>
      </w:r>
      <w:r w:rsidRPr="00402843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402843">
        <w:rPr>
          <w:rFonts w:ascii="Verdana" w:hAnsi="Verdana" w:cs="Calibri"/>
          <w:sz w:val="21"/>
          <w:szCs w:val="21"/>
        </w:rPr>
        <w:t xml:space="preserve">V </w:t>
      </w:r>
      <w:r w:rsidRPr="00402843">
        <w:rPr>
          <w:rFonts w:ascii="Verdana" w:hAnsi="Verdana" w:cs="Verdana"/>
          <w:sz w:val="21"/>
          <w:szCs w:val="21"/>
        </w:rPr>
        <w:noBreakHyphen/>
        <w:t xml:space="preserve"> </w:t>
      </w:r>
      <w:r w:rsidRPr="00402843">
        <w:rPr>
          <w:rFonts w:ascii="Verdana" w:hAnsi="Verdana" w:cs="Calibri"/>
          <w:sz w:val="21"/>
          <w:szCs w:val="21"/>
        </w:rPr>
        <w:t xml:space="preserve"> Não será efetuado qualquer pagamento à detentora da ata enquanto houver pendência de liquidação da obrigação financeira em virtude de penalidade;</w:t>
      </w: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402843">
        <w:rPr>
          <w:rFonts w:ascii="Verdana" w:hAnsi="Verdana" w:cs="Calibri"/>
          <w:sz w:val="21"/>
          <w:szCs w:val="21"/>
        </w:rPr>
        <w:t>VI. O preço referido registrado inclui todos os custos e benefícios decorrentes da prestação dos serviços, de modo a constituírem a única e total contra prestação;</w:t>
      </w: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VII </w:t>
      </w:r>
      <w:r w:rsidRPr="00402843">
        <w:rPr>
          <w:rFonts w:ascii="Verdana" w:hAnsi="Verdana" w:cs="Verdana"/>
          <w:sz w:val="21"/>
          <w:szCs w:val="21"/>
        </w:rPr>
        <w:noBreakHyphen/>
        <w:t xml:space="preserve">  O Município poderá sustar o pagamento a que a contratada tenha direito, enquanto não sanados os defeitos, vícios ou incorreções resultantes da prestação dos serviços.</w:t>
      </w:r>
    </w:p>
    <w:p w:rsidR="00C6185B" w:rsidRPr="00402843" w:rsidRDefault="00C6185B" w:rsidP="003549D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lastRenderedPageBreak/>
        <w:t xml:space="preserve">VIII </w:t>
      </w:r>
      <w:r w:rsidRPr="00402843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I= (TX/100) 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EM = I x N x VP, onde: 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 xml:space="preserve">N = Número de dias entre a data prevista para o pagamento e a do efetivo pagamento; </w:t>
      </w:r>
    </w:p>
    <w:p w:rsidR="00C6185B" w:rsidRPr="00402843" w:rsidRDefault="00C6185B" w:rsidP="003549D5">
      <w:pPr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 w:cs="Verdana"/>
          <w:sz w:val="21"/>
          <w:szCs w:val="21"/>
        </w:rPr>
        <w:t>VP = Valor da parcela em atraso</w:t>
      </w:r>
    </w:p>
    <w:p w:rsidR="00C6185B" w:rsidRPr="00402843" w:rsidRDefault="00C6185B" w:rsidP="003549D5">
      <w:pPr>
        <w:jc w:val="both"/>
        <w:rPr>
          <w:rFonts w:ascii="Verdana" w:hAnsi="Verdana" w:cs="Verdana"/>
          <w:bCs/>
          <w:sz w:val="21"/>
          <w:szCs w:val="21"/>
        </w:rPr>
      </w:pPr>
    </w:p>
    <w:p w:rsidR="00890C02" w:rsidRPr="00402843" w:rsidRDefault="00890C02" w:rsidP="003549D5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07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890C02" w:rsidRPr="00402843" w:rsidRDefault="00890C02" w:rsidP="003549D5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402843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402843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402843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402843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402843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402843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402843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402843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402843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08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a) Advertência;</w:t>
      </w:r>
    </w:p>
    <w:p w:rsidR="00890C02" w:rsidRPr="00402843" w:rsidRDefault="00890C02" w:rsidP="003549D5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402843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402843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890C02" w:rsidRPr="00402843" w:rsidRDefault="00890C02" w:rsidP="003549D5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d.4) descumprimento de cláusula contratual.</w:t>
      </w:r>
    </w:p>
    <w:p w:rsidR="00890C02" w:rsidRPr="00402843" w:rsidRDefault="00890C02" w:rsidP="003549D5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III - </w:t>
      </w:r>
      <w:r w:rsidRPr="00402843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09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>, o qual integra a presente Ata de Registro de Preços, ressalvados os casos de revisão de registro a que se refere o Decreto instituidor do Registro de preços.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10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90C02" w:rsidRPr="00402843" w:rsidRDefault="00890C02" w:rsidP="003549D5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11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I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90C02" w:rsidRPr="00402843" w:rsidRDefault="00890C02" w:rsidP="003549D5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>Pela Administração, quando:</w:t>
      </w: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A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B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C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D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402843" w:rsidRDefault="00890C02" w:rsidP="003549D5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E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F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90C02" w:rsidRPr="00402843" w:rsidRDefault="00890C02" w:rsidP="003549D5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402843">
        <w:rPr>
          <w:rFonts w:ascii="Verdana" w:hAnsi="Verdana"/>
          <w:sz w:val="21"/>
          <w:szCs w:val="21"/>
        </w:rPr>
        <w:t xml:space="preserve">G </w:t>
      </w:r>
      <w:r w:rsidRPr="00402843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402843" w:rsidRDefault="00890C02" w:rsidP="003549D5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>Pelas detentoras, quando</w:t>
      </w:r>
      <w:r w:rsidRPr="00402843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402843" w:rsidRDefault="00890C02" w:rsidP="003549D5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lastRenderedPageBreak/>
        <w:t xml:space="preserve">A </w:t>
      </w:r>
      <w:r w:rsidRPr="00402843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890C02" w:rsidRPr="00402843" w:rsidRDefault="00890C02" w:rsidP="003549D5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402843" w:rsidRDefault="00890C02" w:rsidP="003549D5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 xml:space="preserve">12 </w:t>
      </w:r>
      <w:r w:rsidRPr="00402843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FORNECIMENTO/PRESTAÇÃO DOS SERVIÇOS</w:t>
      </w:r>
    </w:p>
    <w:p w:rsidR="00890C02" w:rsidRPr="00402843" w:rsidRDefault="00890C02" w:rsidP="003549D5">
      <w:pPr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I</w:t>
      </w:r>
      <w:r w:rsidRPr="00402843">
        <w:rPr>
          <w:rFonts w:ascii="Verdana" w:hAnsi="Verdana" w:cs="Arial"/>
          <w:b/>
          <w:sz w:val="21"/>
          <w:szCs w:val="21"/>
        </w:rPr>
        <w:t xml:space="preserve"> </w:t>
      </w:r>
      <w:r w:rsidRPr="00402843">
        <w:rPr>
          <w:rFonts w:ascii="Verdana" w:hAnsi="Verdana" w:cs="Arial"/>
          <w:b/>
          <w:sz w:val="21"/>
          <w:szCs w:val="21"/>
        </w:rPr>
        <w:noBreakHyphen/>
      </w:r>
      <w:r w:rsidRPr="00402843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Secretario requisitante.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b/>
          <w:sz w:val="21"/>
          <w:szCs w:val="21"/>
        </w:rPr>
      </w:pPr>
      <w:r w:rsidRPr="00402843">
        <w:rPr>
          <w:rFonts w:ascii="Verdana" w:hAnsi="Verdana" w:cs="Arial"/>
          <w:b/>
          <w:sz w:val="21"/>
          <w:szCs w:val="21"/>
        </w:rPr>
        <w:t>13- DAS DISPOSIÇÕES FINAIS</w:t>
      </w:r>
    </w:p>
    <w:p w:rsidR="00890C02" w:rsidRPr="00402843" w:rsidRDefault="00890C02" w:rsidP="003549D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C6122A" w:rsidRPr="00402843">
        <w:rPr>
          <w:rFonts w:ascii="Verdana" w:hAnsi="Verdana" w:cs="Arial"/>
          <w:sz w:val="21"/>
          <w:szCs w:val="21"/>
        </w:rPr>
        <w:t>062/2019</w:t>
      </w:r>
      <w:r w:rsidRPr="00402843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A66E3A" w:rsidRPr="00402843">
        <w:rPr>
          <w:rFonts w:ascii="Verdana" w:hAnsi="Verdana" w:cs="Arial"/>
          <w:sz w:val="21"/>
          <w:szCs w:val="21"/>
        </w:rPr>
        <w:t>supranumerado</w:t>
      </w:r>
      <w:r w:rsidRPr="00402843">
        <w:rPr>
          <w:rFonts w:ascii="Verdana" w:hAnsi="Verdana" w:cs="Arial"/>
          <w:sz w:val="21"/>
          <w:szCs w:val="21"/>
        </w:rPr>
        <w:t>.</w:t>
      </w:r>
    </w:p>
    <w:p w:rsidR="00890C02" w:rsidRPr="00402843" w:rsidRDefault="00890C02" w:rsidP="003549D5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90C02" w:rsidRPr="00402843" w:rsidRDefault="00890C02" w:rsidP="003549D5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3549D5">
      <w:pPr>
        <w:jc w:val="both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 xml:space="preserve">Papagaios, </w:t>
      </w:r>
      <w:r w:rsidR="00D10416" w:rsidRPr="00402843">
        <w:rPr>
          <w:rFonts w:ascii="Verdana" w:hAnsi="Verdana" w:cs="Arial"/>
          <w:sz w:val="21"/>
          <w:szCs w:val="21"/>
        </w:rPr>
        <w:t>19 de junho de 2019</w:t>
      </w:r>
      <w:r w:rsidRPr="00402843">
        <w:rPr>
          <w:rFonts w:ascii="Verdana" w:hAnsi="Verdana" w:cs="Arial"/>
          <w:sz w:val="21"/>
          <w:szCs w:val="21"/>
        </w:rPr>
        <w:t>.</w:t>
      </w:r>
    </w:p>
    <w:p w:rsidR="00890C02" w:rsidRPr="00402843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Default="00890C02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F340FF" w:rsidRPr="00402843" w:rsidRDefault="00F340FF" w:rsidP="003549D5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402843" w:rsidRDefault="00890C02" w:rsidP="00F340FF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Município de Papagaios/MG</w:t>
      </w:r>
    </w:p>
    <w:p w:rsidR="00890C02" w:rsidRPr="00402843" w:rsidRDefault="001C0DEE" w:rsidP="00F340FF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402843">
        <w:rPr>
          <w:rFonts w:ascii="Verdana" w:hAnsi="Verdana" w:cs="Arial"/>
          <w:sz w:val="21"/>
          <w:szCs w:val="21"/>
        </w:rPr>
        <w:t>Mário Reis Filgueiras</w:t>
      </w:r>
    </w:p>
    <w:p w:rsidR="00890C02" w:rsidRPr="00402843" w:rsidRDefault="00890C02" w:rsidP="00F340FF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890C02" w:rsidRDefault="00890C02" w:rsidP="00F340FF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F340FF" w:rsidRPr="00402843" w:rsidRDefault="00F340FF" w:rsidP="00F340FF">
      <w:pPr>
        <w:pStyle w:val="Corpodetexto"/>
        <w:jc w:val="center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890C02" w:rsidRPr="00402843" w:rsidRDefault="00F76EA4" w:rsidP="00F340FF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 w:rsidRPr="00402843">
        <w:rPr>
          <w:rFonts w:ascii="Verdana" w:hAnsi="Verdana" w:cs="Arial"/>
          <w:sz w:val="21"/>
          <w:szCs w:val="21"/>
          <w:lang w:val="pt-BR"/>
        </w:rPr>
        <w:t>Leoncinho Transportes Eireli ME</w:t>
      </w:r>
    </w:p>
    <w:p w:rsidR="00890C02" w:rsidRPr="00402843" w:rsidRDefault="00402843" w:rsidP="00F340FF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 w:rsidRPr="00402843">
        <w:rPr>
          <w:rFonts w:ascii="Verdana" w:hAnsi="Verdana" w:cs="Arial"/>
          <w:sz w:val="21"/>
          <w:szCs w:val="21"/>
          <w:lang w:val="pt-BR"/>
        </w:rPr>
        <w:t>CNPJ/MF 26.617.194/0001-62</w:t>
      </w:r>
    </w:p>
    <w:sectPr w:rsidR="00890C02" w:rsidRPr="00402843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BF" w:rsidRDefault="008959BF" w:rsidP="00E00126">
      <w:r>
        <w:separator/>
      </w:r>
    </w:p>
  </w:endnote>
  <w:endnote w:type="continuationSeparator" w:id="0">
    <w:p w:rsidR="008959BF" w:rsidRDefault="008959BF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BF" w:rsidRDefault="008959BF" w:rsidP="00E00126">
      <w:r>
        <w:separator/>
      </w:r>
    </w:p>
  </w:footnote>
  <w:footnote w:type="continuationSeparator" w:id="0">
    <w:p w:rsidR="008959BF" w:rsidRDefault="008959BF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2510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25103" w:rsidRDefault="0072510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25103" w:rsidRPr="000015CB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25103" w:rsidTr="000015CB">
      <w:trPr>
        <w:trHeight w:val="785"/>
      </w:trPr>
      <w:tc>
        <w:tcPr>
          <w:tcW w:w="2127" w:type="dxa"/>
          <w:vMerge/>
        </w:tcPr>
        <w:p w:rsidR="00725103" w:rsidRDefault="00725103">
          <w:pPr>
            <w:pStyle w:val="Cabealho"/>
          </w:pPr>
        </w:p>
      </w:tc>
      <w:tc>
        <w:tcPr>
          <w:tcW w:w="8930" w:type="dxa"/>
        </w:tcPr>
        <w:p w:rsidR="00725103" w:rsidRPr="002936D7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25103" w:rsidRDefault="00725103">
    <w:pPr>
      <w:pStyle w:val="Cabealho"/>
    </w:pPr>
  </w:p>
  <w:p w:rsidR="00725103" w:rsidRDefault="0072510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B8F"/>
    <w:rsid w:val="0001715B"/>
    <w:rsid w:val="0002044D"/>
    <w:rsid w:val="000217FD"/>
    <w:rsid w:val="00034616"/>
    <w:rsid w:val="000445DE"/>
    <w:rsid w:val="00054122"/>
    <w:rsid w:val="000660BE"/>
    <w:rsid w:val="00083D59"/>
    <w:rsid w:val="00086BE7"/>
    <w:rsid w:val="000951FF"/>
    <w:rsid w:val="000A3062"/>
    <w:rsid w:val="000B0023"/>
    <w:rsid w:val="000C7A25"/>
    <w:rsid w:val="000E7423"/>
    <w:rsid w:val="000F01FA"/>
    <w:rsid w:val="000F7A1F"/>
    <w:rsid w:val="00134BDF"/>
    <w:rsid w:val="00142DD0"/>
    <w:rsid w:val="00162607"/>
    <w:rsid w:val="00166D9D"/>
    <w:rsid w:val="00170677"/>
    <w:rsid w:val="00171510"/>
    <w:rsid w:val="00183FC8"/>
    <w:rsid w:val="001850DF"/>
    <w:rsid w:val="001924F0"/>
    <w:rsid w:val="001A5450"/>
    <w:rsid w:val="001C0DEE"/>
    <w:rsid w:val="001C6C97"/>
    <w:rsid w:val="001D1197"/>
    <w:rsid w:val="001D5CBE"/>
    <w:rsid w:val="001F0D80"/>
    <w:rsid w:val="001F5069"/>
    <w:rsid w:val="00212F69"/>
    <w:rsid w:val="0022388C"/>
    <w:rsid w:val="002308BF"/>
    <w:rsid w:val="00236DA2"/>
    <w:rsid w:val="002448C5"/>
    <w:rsid w:val="002642B5"/>
    <w:rsid w:val="00272902"/>
    <w:rsid w:val="00273172"/>
    <w:rsid w:val="002936D7"/>
    <w:rsid w:val="00293A7B"/>
    <w:rsid w:val="002E07D2"/>
    <w:rsid w:val="002F68A3"/>
    <w:rsid w:val="00314706"/>
    <w:rsid w:val="003531D5"/>
    <w:rsid w:val="003549D5"/>
    <w:rsid w:val="00362920"/>
    <w:rsid w:val="00376B8E"/>
    <w:rsid w:val="00394A80"/>
    <w:rsid w:val="00396FD3"/>
    <w:rsid w:val="003A2607"/>
    <w:rsid w:val="003A53CF"/>
    <w:rsid w:val="003B3096"/>
    <w:rsid w:val="003D77AB"/>
    <w:rsid w:val="00402843"/>
    <w:rsid w:val="00422337"/>
    <w:rsid w:val="00433B3B"/>
    <w:rsid w:val="00452FBE"/>
    <w:rsid w:val="004809F3"/>
    <w:rsid w:val="004842F3"/>
    <w:rsid w:val="00485378"/>
    <w:rsid w:val="00491C72"/>
    <w:rsid w:val="004B1983"/>
    <w:rsid w:val="004C44D3"/>
    <w:rsid w:val="004C7425"/>
    <w:rsid w:val="004F1265"/>
    <w:rsid w:val="00505063"/>
    <w:rsid w:val="0050557D"/>
    <w:rsid w:val="00516BD9"/>
    <w:rsid w:val="00546E98"/>
    <w:rsid w:val="005872F6"/>
    <w:rsid w:val="005921BE"/>
    <w:rsid w:val="00592E79"/>
    <w:rsid w:val="005A1AB5"/>
    <w:rsid w:val="005A6EF5"/>
    <w:rsid w:val="00601CC5"/>
    <w:rsid w:val="0060342D"/>
    <w:rsid w:val="0060498E"/>
    <w:rsid w:val="00610160"/>
    <w:rsid w:val="00627685"/>
    <w:rsid w:val="00627925"/>
    <w:rsid w:val="00632ADF"/>
    <w:rsid w:val="00636568"/>
    <w:rsid w:val="00680B94"/>
    <w:rsid w:val="006933AF"/>
    <w:rsid w:val="00696840"/>
    <w:rsid w:val="006B415A"/>
    <w:rsid w:val="006C294D"/>
    <w:rsid w:val="006C5179"/>
    <w:rsid w:val="006E7555"/>
    <w:rsid w:val="00704E0F"/>
    <w:rsid w:val="0071384D"/>
    <w:rsid w:val="00725103"/>
    <w:rsid w:val="00734ED6"/>
    <w:rsid w:val="00745C62"/>
    <w:rsid w:val="00752AC7"/>
    <w:rsid w:val="00775E07"/>
    <w:rsid w:val="007766C0"/>
    <w:rsid w:val="007870AE"/>
    <w:rsid w:val="007922BB"/>
    <w:rsid w:val="007A4A2B"/>
    <w:rsid w:val="007B2225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62253"/>
    <w:rsid w:val="00884808"/>
    <w:rsid w:val="00890C02"/>
    <w:rsid w:val="008959BF"/>
    <w:rsid w:val="008A1175"/>
    <w:rsid w:val="008A3628"/>
    <w:rsid w:val="008E004D"/>
    <w:rsid w:val="008F65DA"/>
    <w:rsid w:val="009246DC"/>
    <w:rsid w:val="00940310"/>
    <w:rsid w:val="00943CAD"/>
    <w:rsid w:val="0096453D"/>
    <w:rsid w:val="00967B97"/>
    <w:rsid w:val="0097482B"/>
    <w:rsid w:val="00976948"/>
    <w:rsid w:val="00981756"/>
    <w:rsid w:val="009877CF"/>
    <w:rsid w:val="00997D49"/>
    <w:rsid w:val="00997FFA"/>
    <w:rsid w:val="009A2023"/>
    <w:rsid w:val="009A49BF"/>
    <w:rsid w:val="009B10B5"/>
    <w:rsid w:val="009D0230"/>
    <w:rsid w:val="009D04FB"/>
    <w:rsid w:val="009D36CA"/>
    <w:rsid w:val="009E40AE"/>
    <w:rsid w:val="009F6CE9"/>
    <w:rsid w:val="00A12542"/>
    <w:rsid w:val="00A46D52"/>
    <w:rsid w:val="00A57EE8"/>
    <w:rsid w:val="00A66E3A"/>
    <w:rsid w:val="00A679B1"/>
    <w:rsid w:val="00A7006D"/>
    <w:rsid w:val="00A823D6"/>
    <w:rsid w:val="00AB224A"/>
    <w:rsid w:val="00AD662E"/>
    <w:rsid w:val="00AE21A5"/>
    <w:rsid w:val="00AE6318"/>
    <w:rsid w:val="00AF7835"/>
    <w:rsid w:val="00B32DC3"/>
    <w:rsid w:val="00B412C8"/>
    <w:rsid w:val="00B42ED1"/>
    <w:rsid w:val="00B507A5"/>
    <w:rsid w:val="00B51BEA"/>
    <w:rsid w:val="00B53D45"/>
    <w:rsid w:val="00B6662D"/>
    <w:rsid w:val="00B96A36"/>
    <w:rsid w:val="00BA13A8"/>
    <w:rsid w:val="00BB3DDF"/>
    <w:rsid w:val="00BB3E44"/>
    <w:rsid w:val="00BC2CAA"/>
    <w:rsid w:val="00BC33DA"/>
    <w:rsid w:val="00BC59BD"/>
    <w:rsid w:val="00BF6FAC"/>
    <w:rsid w:val="00C06843"/>
    <w:rsid w:val="00C1535B"/>
    <w:rsid w:val="00C371E1"/>
    <w:rsid w:val="00C6122A"/>
    <w:rsid w:val="00C6185B"/>
    <w:rsid w:val="00C8645F"/>
    <w:rsid w:val="00C91ECF"/>
    <w:rsid w:val="00CB7F50"/>
    <w:rsid w:val="00CD5CBE"/>
    <w:rsid w:val="00CD7DED"/>
    <w:rsid w:val="00D10416"/>
    <w:rsid w:val="00D106E6"/>
    <w:rsid w:val="00D17008"/>
    <w:rsid w:val="00D27E72"/>
    <w:rsid w:val="00D40314"/>
    <w:rsid w:val="00D458FE"/>
    <w:rsid w:val="00D46675"/>
    <w:rsid w:val="00D71C48"/>
    <w:rsid w:val="00D81C20"/>
    <w:rsid w:val="00DB0040"/>
    <w:rsid w:val="00DB480A"/>
    <w:rsid w:val="00DC00E8"/>
    <w:rsid w:val="00DC4E3F"/>
    <w:rsid w:val="00DD032C"/>
    <w:rsid w:val="00DE1E68"/>
    <w:rsid w:val="00DE2115"/>
    <w:rsid w:val="00E00126"/>
    <w:rsid w:val="00E044CC"/>
    <w:rsid w:val="00E32262"/>
    <w:rsid w:val="00E33182"/>
    <w:rsid w:val="00E41DFA"/>
    <w:rsid w:val="00E53405"/>
    <w:rsid w:val="00E55D45"/>
    <w:rsid w:val="00E74559"/>
    <w:rsid w:val="00E83210"/>
    <w:rsid w:val="00EA2BCA"/>
    <w:rsid w:val="00ED2798"/>
    <w:rsid w:val="00EF18EF"/>
    <w:rsid w:val="00F16580"/>
    <w:rsid w:val="00F32CFF"/>
    <w:rsid w:val="00F335C8"/>
    <w:rsid w:val="00F340FF"/>
    <w:rsid w:val="00F473FE"/>
    <w:rsid w:val="00F5021C"/>
    <w:rsid w:val="00F53C29"/>
    <w:rsid w:val="00F76EA4"/>
    <w:rsid w:val="00F77C49"/>
    <w:rsid w:val="00F961F8"/>
    <w:rsid w:val="00FA0EF3"/>
    <w:rsid w:val="00FB0975"/>
    <w:rsid w:val="00FB1275"/>
    <w:rsid w:val="00FB47C1"/>
    <w:rsid w:val="00FC4C60"/>
    <w:rsid w:val="00FF1D0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508011-BCA5-410E-887C-B89B8B5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2078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19</cp:revision>
  <cp:lastPrinted>2019-08-06T15:11:00Z</cp:lastPrinted>
  <dcterms:created xsi:type="dcterms:W3CDTF">2019-08-06T16:53:00Z</dcterms:created>
  <dcterms:modified xsi:type="dcterms:W3CDTF">2019-08-06T17:06:00Z</dcterms:modified>
</cp:coreProperties>
</file>