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043A44" w:rsidRDefault="003214FB" w:rsidP="003214FB">
      <w:pPr>
        <w:jc w:val="both"/>
        <w:rPr>
          <w:rFonts w:ascii="Verdana" w:hAnsi="Verdana"/>
          <w:b/>
          <w:color w:val="000000" w:themeColor="text1"/>
          <w:sz w:val="21"/>
          <w:szCs w:val="21"/>
        </w:rPr>
      </w:pPr>
      <w:r w:rsidRPr="00043A44">
        <w:rPr>
          <w:rFonts w:ascii="Verdana" w:hAnsi="Verdana"/>
          <w:b/>
          <w:color w:val="000000" w:themeColor="text1"/>
          <w:sz w:val="21"/>
          <w:szCs w:val="21"/>
        </w:rPr>
        <w:t xml:space="preserve">PROCESSO LICITATÓRIO Nº </w:t>
      </w:r>
      <w:r w:rsidR="006A119D" w:rsidRPr="00043A44">
        <w:rPr>
          <w:rFonts w:ascii="Verdana" w:hAnsi="Verdana"/>
          <w:b/>
          <w:color w:val="000000" w:themeColor="text1"/>
          <w:sz w:val="21"/>
          <w:szCs w:val="21"/>
        </w:rPr>
        <w:t>084/2019</w:t>
      </w:r>
    </w:p>
    <w:p w:rsidR="003214FB" w:rsidRPr="00043A44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PREGÃO PRESENCIAL Nº </w:t>
      </w:r>
      <w:r w:rsidR="006A119D" w:rsidRPr="00043A44">
        <w:rPr>
          <w:rFonts w:ascii="Verdana" w:hAnsi="Verdana" w:cs="Arial"/>
          <w:b/>
          <w:color w:val="000000" w:themeColor="text1"/>
          <w:sz w:val="21"/>
          <w:szCs w:val="21"/>
        </w:rPr>
        <w:t>055/2019</w:t>
      </w:r>
    </w:p>
    <w:p w:rsidR="003214FB" w:rsidRPr="00043A44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000000" w:themeColor="text1"/>
          <w:sz w:val="21"/>
          <w:szCs w:val="21"/>
          <w:u w:val="single"/>
        </w:rPr>
      </w:pP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ATA DE REGISTRO DE PREÇOS Nº </w:t>
      </w:r>
      <w:r w:rsidR="0055714C" w:rsidRPr="00043A44">
        <w:rPr>
          <w:rFonts w:ascii="Verdana" w:hAnsi="Verdana" w:cs="Arial"/>
          <w:color w:val="000000" w:themeColor="text1"/>
          <w:sz w:val="21"/>
          <w:szCs w:val="21"/>
        </w:rPr>
        <w:t>044</w:t>
      </w:r>
      <w:r w:rsidR="00506805" w:rsidRPr="00043A44">
        <w:rPr>
          <w:rFonts w:ascii="Verdana" w:hAnsi="Verdana" w:cs="Arial"/>
          <w:color w:val="000000" w:themeColor="text1"/>
          <w:sz w:val="21"/>
          <w:szCs w:val="21"/>
        </w:rPr>
        <w:t>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PROCESSO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VALIDADE: 12 meses.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Aos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13 (treze)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dias do mês de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 xml:space="preserve">setembro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de </w:t>
      </w:r>
      <w:r w:rsidR="00506805" w:rsidRPr="00043A44">
        <w:rPr>
          <w:rFonts w:ascii="Verdana" w:hAnsi="Verdana" w:cs="Arial"/>
          <w:color w:val="000000" w:themeColor="text1"/>
          <w:sz w:val="21"/>
          <w:szCs w:val="21"/>
        </w:rPr>
        <w:t>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na sala de licitações, na sede da Prefeitura Municipal, situada na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Avenida Francisco Valadares da Fonseca, nº. 250, bairro Vasco Lopes, Papagaios/MG, CEP 35.669-000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o Exmo. Sr. Prefeito Municipal, Sr.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Mário Reis Filgueiras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por deliberação do pregoeiro oficial e equipe de apoio, e por ele homologada conforme processo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RESOLVE registrar os preços para os fornecimentos constantes nos anexos desta ata, beneficiário </w:t>
      </w:r>
      <w:r w:rsidR="00DF4E95">
        <w:rPr>
          <w:rFonts w:ascii="Verdana" w:hAnsi="Verdana" w:cs="Arial"/>
          <w:b/>
          <w:sz w:val="21"/>
          <w:szCs w:val="21"/>
        </w:rPr>
        <w:t>VICTOR TIENGOS COELHO CORREIA</w:t>
      </w:r>
      <w:r w:rsidR="00F53A12">
        <w:rPr>
          <w:rFonts w:ascii="Verdana" w:hAnsi="Verdana" w:cs="Arial"/>
          <w:b/>
          <w:sz w:val="21"/>
          <w:szCs w:val="21"/>
        </w:rPr>
        <w:t xml:space="preserve"> </w:t>
      </w:r>
      <w:r w:rsidR="00666121">
        <w:rPr>
          <w:rFonts w:ascii="Verdana" w:hAnsi="Verdana" w:cs="Arial"/>
          <w:b/>
          <w:sz w:val="21"/>
          <w:szCs w:val="21"/>
        </w:rPr>
        <w:t>13917950677 – ME</w:t>
      </w:r>
      <w:r w:rsidR="00043A44" w:rsidRPr="00043A44">
        <w:rPr>
          <w:rFonts w:ascii="Verdana" w:hAnsi="Verdana" w:cs="Arial"/>
          <w:sz w:val="21"/>
          <w:szCs w:val="21"/>
        </w:rPr>
        <w:t xml:space="preserve">, localizado na </w:t>
      </w:r>
      <w:r w:rsidR="00BF627B">
        <w:rPr>
          <w:rFonts w:ascii="Verdana" w:hAnsi="Verdana" w:cs="Arial"/>
          <w:sz w:val="21"/>
          <w:szCs w:val="21"/>
        </w:rPr>
        <w:t xml:space="preserve">Rua Duque Valentim, nº 170-A, bairro Flamengo (Justinopolis), Ribeirão das Neves/MG, CEP 33.933-140, </w:t>
      </w:r>
      <w:r w:rsidR="00580867">
        <w:rPr>
          <w:rFonts w:ascii="Verdana" w:hAnsi="Verdana" w:cs="Arial"/>
          <w:sz w:val="21"/>
          <w:szCs w:val="21"/>
        </w:rPr>
        <w:t xml:space="preserve">cujo CNPJ/MF é </w:t>
      </w:r>
      <w:r w:rsidR="005208B8">
        <w:rPr>
          <w:rFonts w:ascii="Verdana" w:hAnsi="Verdana" w:cs="Arial"/>
          <w:sz w:val="21"/>
          <w:szCs w:val="21"/>
        </w:rPr>
        <w:t>25.838.040/0001-38</w:t>
      </w:r>
      <w:r w:rsidR="005208B8">
        <w:rPr>
          <w:rFonts w:ascii="Verdana" w:hAnsi="Verdana" w:cs="Arial"/>
          <w:sz w:val="21"/>
          <w:szCs w:val="21"/>
        </w:rPr>
        <w:t>,</w:t>
      </w:r>
      <w:r w:rsidR="00C4152F">
        <w:rPr>
          <w:rFonts w:ascii="Verdana" w:hAnsi="Verdana" w:cs="Arial"/>
          <w:sz w:val="21"/>
          <w:szCs w:val="21"/>
        </w:rPr>
        <w:t xml:space="preserve"> </w:t>
      </w:r>
      <w:bookmarkStart w:id="0" w:name="_GoBack"/>
      <w:bookmarkEnd w:id="0"/>
      <w:r w:rsidR="00043A44" w:rsidRPr="00043A44">
        <w:rPr>
          <w:rFonts w:ascii="Verdana" w:hAnsi="Verdana" w:cs="Arial"/>
          <w:sz w:val="21"/>
          <w:szCs w:val="21"/>
        </w:rPr>
        <w:t xml:space="preserve">neste ato representado por </w:t>
      </w:r>
      <w:r w:rsidR="00BF627B">
        <w:rPr>
          <w:rFonts w:ascii="Verdana" w:hAnsi="Verdana" w:cs="Arial"/>
          <w:sz w:val="21"/>
          <w:szCs w:val="21"/>
        </w:rPr>
        <w:t>Victor Tiengos Coelho Correia</w:t>
      </w:r>
      <w:r w:rsidR="00043A44" w:rsidRPr="00043A44">
        <w:rPr>
          <w:rFonts w:ascii="Verdana" w:hAnsi="Verdana" w:cs="Arial"/>
          <w:sz w:val="21"/>
          <w:szCs w:val="21"/>
        </w:rPr>
        <w:t xml:space="preserve">, inscrito no CPF/MF sob o nº. </w:t>
      </w:r>
      <w:r w:rsidR="00BF627B">
        <w:rPr>
          <w:rFonts w:ascii="Verdana" w:hAnsi="Verdana" w:cs="Arial"/>
          <w:sz w:val="21"/>
          <w:szCs w:val="21"/>
        </w:rPr>
        <w:t>139.179.506-77</w:t>
      </w:r>
      <w:r w:rsidR="00043A44" w:rsidRPr="00043A44">
        <w:rPr>
          <w:rFonts w:ascii="Verdana" w:hAnsi="Verdana" w:cs="Arial"/>
          <w:sz w:val="21"/>
          <w:szCs w:val="21"/>
        </w:rPr>
        <w:t>, conforme quadro abaixo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:</w:t>
      </w:r>
    </w:p>
    <w:p w:rsidR="003214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88"/>
        <w:gridCol w:w="850"/>
        <w:gridCol w:w="940"/>
        <w:gridCol w:w="1077"/>
        <w:gridCol w:w="833"/>
        <w:gridCol w:w="1060"/>
        <w:gridCol w:w="833"/>
        <w:gridCol w:w="1142"/>
      </w:tblGrid>
      <w:tr w:rsidR="00B12C02" w:rsidRPr="00B12C02" w:rsidTr="00041B5C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6735" w:type="dxa"/>
            <w:gridSpan w:val="7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B12C02" w:rsidRPr="00B12C02" w:rsidTr="00041B5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2867" w:type="dxa"/>
            <w:gridSpan w:val="3"/>
            <w:shd w:val="clear" w:color="000000" w:fill="BFBFBF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1893" w:type="dxa"/>
            <w:gridSpan w:val="2"/>
            <w:shd w:val="clear" w:color="000000" w:fill="BFBFBF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1975" w:type="dxa"/>
            <w:gridSpan w:val="2"/>
            <w:shd w:val="clear" w:color="000000" w:fill="BFBFBF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041B5C" w:rsidRPr="00B12C02" w:rsidTr="00041B5C">
        <w:trPr>
          <w:trHeight w:val="182"/>
        </w:trPr>
        <w:tc>
          <w:tcPr>
            <w:tcW w:w="580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077" w:type="dxa"/>
            <w:vMerge w:val="restart"/>
            <w:shd w:val="clear" w:color="000000" w:fill="D9D9D9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833" w:type="dxa"/>
            <w:vMerge w:val="restart"/>
            <w:shd w:val="clear" w:color="000000" w:fill="D9D9D9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Qtde. Estimada</w:t>
            </w:r>
          </w:p>
        </w:tc>
        <w:tc>
          <w:tcPr>
            <w:tcW w:w="1060" w:type="dxa"/>
            <w:vMerge w:val="restart"/>
            <w:shd w:val="clear" w:color="000000" w:fill="D9D9D9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833" w:type="dxa"/>
            <w:vMerge w:val="restart"/>
            <w:shd w:val="clear" w:color="000000" w:fill="D9D9D9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Qtde. Estimada</w:t>
            </w:r>
          </w:p>
        </w:tc>
        <w:tc>
          <w:tcPr>
            <w:tcW w:w="1142" w:type="dxa"/>
            <w:vMerge w:val="restart"/>
            <w:shd w:val="clear" w:color="000000" w:fill="D9D9D9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B12C02" w:rsidRPr="00B12C02" w:rsidTr="00041B5C">
        <w:trPr>
          <w:trHeight w:val="182"/>
        </w:trPr>
        <w:tc>
          <w:tcPr>
            <w:tcW w:w="580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B12C02" w:rsidRPr="00B12C02" w:rsidRDefault="00B12C02" w:rsidP="00B12C02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Borracha bicolor (azul/vermelha) para apagar tinta de caneta e lápis, atóxica, dimensões variáveis: comprimento 40 a 60 mm, largura 16 a 20 mm e espessura 6,0 a 8,0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0,20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COLA DIMENSIONAL METALIC RELEVO - 20 ML (DIVERSAS CORES)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2,47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247,00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247,00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1.235,00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DVD - RW - 8x 4.7 GB - 120 minutos - com capa de acrílico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4,16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1.248,00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1.248,00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6.240,00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ENVELOPES BRANCO 26,5X 36,5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0,25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875,00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3500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875,00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17500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4.375,00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FICHA INDIVIDUAL DO ALUNO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0,52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312,00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312,00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1.560,00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GRAFITE N° 07 C/ 24 UNID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1,04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52,00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52,00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260,00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GRAFITE N° 09 C/ 24 UNID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1,04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52,00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52,00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260,00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119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LÁPIS BORRACHA, MATERIAL MADEIRA, DIÂMETRO DA CARGA 4MM, FORMATO DO </w:t>
            </w: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CORPO CILÍNDRICO, DIÂMETRO DO CORPO 8MM, COMPRIMENTO TOTAL 175 MM, APLICAÇÃO TINTA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2,46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984,00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984,00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4.920,00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123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Lapiseira em plástico ou acrílico, com ponta cromada, mecanismo da mina metálico, para grafite 0,7 mm, acionamento com clik superior, com borracha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2,07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207,00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207,00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1.035,00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LIVRO DO PONTO C/ 100 FLS CAPA PLASTIFICADA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7,67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1.534,00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1.534,00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7.670,00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129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Papel 180 grs. A3 com 500 unidades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41,60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6.240,00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6.240,00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31.200,00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133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PAPEL APERGAMINHADO (CARTOLINA DUPLA) - 96X66 CM - 180 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1,11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166,50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166,50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832,50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177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PILHA PALITO ALCALINA tipo AAA-2, 1,5 volts, não recarregável. CARTELA C/ 02 UNIDADES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1,27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317,50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317,50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1250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1.587,50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Quadro de aviso em feltro 1,20 x 2,00 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206,70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6.201,00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6.201,00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31.005,00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RÉGUAS 50 CM EM POLIESTIRENO, CRISTAL COM ESCALA DE PRECISÃO/SUBDIVISÃO EM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1,95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487,50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487,50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1250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2.437,50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237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 w:cs="MS Sans Serif"/>
                <w:color w:val="000000"/>
                <w:kern w:val="0"/>
                <w:sz w:val="15"/>
                <w:szCs w:val="15"/>
                <w:lang w:eastAsia="pt-BR"/>
              </w:rPr>
              <w:t>Carimbo de Madeira: medindo até 8cm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11,70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234,00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234,00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1.170,00</w:t>
            </w:r>
          </w:p>
        </w:tc>
      </w:tr>
      <w:tr w:rsidR="00041B5C" w:rsidRPr="00B12C02" w:rsidTr="00041B5C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240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 w:cs="MS Sans Serif"/>
                <w:color w:val="000000"/>
                <w:kern w:val="0"/>
                <w:sz w:val="15"/>
                <w:szCs w:val="15"/>
                <w:lang w:eastAsia="pt-BR"/>
              </w:rPr>
              <w:t>Carimbo auto-entintado: tipo automático, formato retangular, características adicionais retrátil com mola. Similar Trodat (printy 80x45mm). Almofada substituível, material de impressão em fotopolímero. Com visor para identificação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B12C0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32,50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1.950,00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1.950,00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B12C02" w:rsidRPr="00B12C02" w:rsidRDefault="00B12C02" w:rsidP="00041B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12C02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9.750,00</w:t>
            </w:r>
          </w:p>
        </w:tc>
      </w:tr>
    </w:tbl>
    <w:p w:rsidR="003214FB" w:rsidRPr="00043A44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01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OBJETO: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/>
          <w:color w:val="000000" w:themeColor="text1"/>
          <w:sz w:val="21"/>
          <w:szCs w:val="21"/>
        </w:rPr>
        <w:noBreakHyphen/>
        <w:t xml:space="preserve"> Os objetos do fornecimento são os produtos constantes</w:t>
      </w:r>
      <w:r w:rsidR="00F41720" w:rsidRPr="00043A44">
        <w:rPr>
          <w:rFonts w:ascii="Verdana" w:hAnsi="Verdana"/>
          <w:color w:val="000000" w:themeColor="text1"/>
          <w:sz w:val="21"/>
          <w:szCs w:val="21"/>
        </w:rPr>
        <w:t xml:space="preserve"> do quadro</w:t>
      </w:r>
      <w:r w:rsidRPr="00043A44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A478F6" w:rsidRPr="00043A44">
        <w:rPr>
          <w:rFonts w:ascii="Verdana" w:hAnsi="Verdana"/>
          <w:color w:val="000000" w:themeColor="text1"/>
          <w:sz w:val="21"/>
          <w:szCs w:val="21"/>
        </w:rPr>
        <w:t>acima</w:t>
      </w:r>
      <w:r w:rsidRPr="00043A44">
        <w:rPr>
          <w:rFonts w:ascii="Verdana" w:hAnsi="Verdana"/>
          <w:color w:val="000000" w:themeColor="text1"/>
          <w:sz w:val="21"/>
          <w:szCs w:val="21"/>
        </w:rPr>
        <w:t>, em que são discriminados, a apresentação de cada produto, o consumo estimado e o prazo para entrega.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02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VALIDADE DO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lastRenderedPageBreak/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03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UTILIZAÇÃO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04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PREÇO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6D7146">
      <w:pPr>
        <w:tabs>
          <w:tab w:val="right" w:pos="912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2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que integra o presente instrumento de compromisso.</w:t>
      </w:r>
    </w:p>
    <w:p w:rsidR="003214FB" w:rsidRPr="00043A44" w:rsidRDefault="003214FB" w:rsidP="006D7146">
      <w:pPr>
        <w:tabs>
          <w:tab w:val="right" w:pos="9106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06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pelas empresas detentoras da presente Ata, as quais também a integram.</w:t>
      </w:r>
    </w:p>
    <w:p w:rsidR="003214FB" w:rsidRPr="00043A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05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LOCAL E PRAZO DE ENTREGA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06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PAGAMENTO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 xml:space="preserve">em até 30 (trinta) dias após recebimento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definitivo pela unidade requisitante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 xml:space="preserve"> do objeto,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mediante apresentação da Nota Fiscal.</w:t>
      </w:r>
    </w:p>
    <w:p w:rsidR="003214FB" w:rsidRPr="00043A44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r w:rsidRPr="00043A44">
        <w:rPr>
          <w:rFonts w:ascii="Verdana" w:hAnsi="Verdana"/>
          <w:color w:val="000000" w:themeColor="text1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I= (TX/100)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lastRenderedPageBreak/>
        <w:t xml:space="preserve">EM = I x N x VP, onde: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 = Índice de atualização financeira;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TX = Percentual da taxa de juros de mora anual;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EM = Encargos moratórios;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N = Número de dias entre a data prevista para o pagamento e a do efetivo pagamento; </w:t>
      </w:r>
    </w:p>
    <w:p w:rsidR="003214FB" w:rsidRPr="00043A44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VP = Valor da parcela em atraso</w:t>
      </w:r>
    </w:p>
    <w:p w:rsidR="003214FB" w:rsidRPr="00043A44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07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FORNECIMENTO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IV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08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PENALIDADES</w:t>
      </w:r>
    </w:p>
    <w:p w:rsidR="003214FB" w:rsidRPr="00043A44" w:rsidRDefault="003214FB" w:rsidP="006D7146">
      <w:pPr>
        <w:tabs>
          <w:tab w:val="left" w:pos="1245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– Em caso de inexecução parcial ou total das condições fixadas no contrato, erros ou atrasos no cumprimento do contrato e quaisquer outras irregularidades, 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lastRenderedPageBreak/>
        <w:t>Administração poderá, garantida a prévia defesa, aplicar ao contratado as seguintes sanções: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A. Advertência;</w:t>
      </w: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B. Multa de 0,3% (três décimos por cento) por dia, até o 10</w:t>
      </w:r>
      <w:r w:rsidRPr="00043A44">
        <w:rPr>
          <w:rFonts w:ascii="Verdana" w:hAnsi="Verdana" w:cs="Arial"/>
          <w:color w:val="000000" w:themeColor="text1"/>
          <w:sz w:val="21"/>
          <w:szCs w:val="21"/>
          <w:u w:val="single"/>
          <w:vertAlign w:val="superscript"/>
        </w:rPr>
        <w:t>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(décimo) dia de atraso, da entrega do produto, sobre o valor da parcela, por ocorrência;</w:t>
      </w: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D. Multa de 20% (vinte por cento) sobre o valor do contrato, nos casos: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a) inobservância do nível de qualidade dos fornecimentos;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b) transferência total ou parcial do contrato a terceiros;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c) subcontratação no todo ou em parte do objeto sem prévia autorização formal da Contratante;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d) descumprimento de cláusula contratual.</w:t>
      </w:r>
    </w:p>
    <w:p w:rsidR="003214FB" w:rsidRPr="00043A44" w:rsidRDefault="003214FB" w:rsidP="006D7146">
      <w:pPr>
        <w:tabs>
          <w:tab w:val="center" w:pos="2268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center" w:pos="2268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–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043A44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color w:val="000000" w:themeColor="text1"/>
          <w:sz w:val="21"/>
          <w:szCs w:val="21"/>
          <w:highlight w:val="yellow"/>
        </w:rPr>
      </w:pPr>
    </w:p>
    <w:p w:rsidR="003214FB" w:rsidRPr="00043A44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09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DOS REAJUSTAMENTOS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10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043A44" w:rsidRDefault="003214FB" w:rsidP="006D7146">
      <w:pPr>
        <w:tabs>
          <w:tab w:val="right" w:pos="85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11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CANCELAMENTO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043A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Pela Administração, quando: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B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C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D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043A44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E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F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G </w:t>
      </w:r>
      <w:r w:rsidRPr="00043A44">
        <w:rPr>
          <w:rFonts w:ascii="Verdana" w:hAnsi="Verdana"/>
          <w:color w:val="000000" w:themeColor="text1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Pelas detentoras, quando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7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043A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12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AUTORIZAÇÃO PARA FORNECIMENTO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13- DAS DISPOSIÇÕES FINAIS</w:t>
      </w:r>
    </w:p>
    <w:p w:rsidR="003214FB" w:rsidRPr="00043A44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14.1. Integram esta Ata, 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e as propostas das empresas classificadas no certame supranumerado.</w:t>
      </w: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Papagaios, </w:t>
      </w:r>
      <w:r w:rsidR="0000737E" w:rsidRPr="00043A44">
        <w:rPr>
          <w:rFonts w:ascii="Verdana" w:hAnsi="Verdana" w:cs="Arial"/>
          <w:color w:val="000000" w:themeColor="text1"/>
          <w:sz w:val="21"/>
          <w:szCs w:val="21"/>
        </w:rPr>
        <w:t>13 de setembro de 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53106C" w:rsidRPr="00043A44" w:rsidRDefault="0053106C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>Município de Papagaios/MG</w:t>
      </w: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>Mário Reis Filgueiras</w:t>
      </w:r>
    </w:p>
    <w:p w:rsid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7701C3" w:rsidRPr="00043A44" w:rsidRDefault="007701C3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43A44" w:rsidRPr="00043A44" w:rsidRDefault="002B6F3C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Victor Tiengos Coelho Correia 13917950677 – ME</w:t>
      </w:r>
    </w:p>
    <w:p w:rsidR="0000737E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 xml:space="preserve">CNPJ/MF </w:t>
      </w:r>
      <w:r w:rsidR="002B6F3C">
        <w:rPr>
          <w:rFonts w:ascii="Verdana" w:hAnsi="Verdana" w:cs="Arial"/>
          <w:sz w:val="21"/>
          <w:szCs w:val="21"/>
        </w:rPr>
        <w:t>25.838.040/0001-38</w:t>
      </w:r>
    </w:p>
    <w:sectPr w:rsidR="0000737E" w:rsidRPr="00043A44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FE" w:rsidRDefault="00286BFE" w:rsidP="00E00126">
      <w:r>
        <w:separator/>
      </w:r>
    </w:p>
  </w:endnote>
  <w:endnote w:type="continuationSeparator" w:id="0">
    <w:p w:rsidR="00286BFE" w:rsidRDefault="00286BF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CE" w:rsidRPr="00320A16" w:rsidRDefault="00DC58C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FE" w:rsidRDefault="00286BFE" w:rsidP="00E00126">
      <w:r>
        <w:separator/>
      </w:r>
    </w:p>
  </w:footnote>
  <w:footnote w:type="continuationSeparator" w:id="0">
    <w:p w:rsidR="00286BFE" w:rsidRDefault="00286BF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C58CE" w:rsidTr="00E33182">
      <w:trPr>
        <w:trHeight w:val="781"/>
      </w:trPr>
      <w:tc>
        <w:tcPr>
          <w:tcW w:w="2127" w:type="dxa"/>
          <w:vMerge w:val="restart"/>
          <w:vAlign w:val="center"/>
        </w:tcPr>
        <w:p w:rsidR="00DC58CE" w:rsidRDefault="00DC58C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C58CE" w:rsidRPr="000015CB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C58CE" w:rsidTr="000015CB">
      <w:trPr>
        <w:trHeight w:val="785"/>
      </w:trPr>
      <w:tc>
        <w:tcPr>
          <w:tcW w:w="2127" w:type="dxa"/>
          <w:vMerge/>
        </w:tcPr>
        <w:p w:rsidR="00DC58CE" w:rsidRDefault="00DC58CE">
          <w:pPr>
            <w:pStyle w:val="Cabealho"/>
          </w:pPr>
        </w:p>
      </w:tc>
      <w:tc>
        <w:tcPr>
          <w:tcW w:w="8930" w:type="dxa"/>
        </w:tcPr>
        <w:p w:rsidR="00DC58CE" w:rsidRPr="002936D7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C58CE" w:rsidRDefault="00DC58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737E"/>
    <w:rsid w:val="000103DB"/>
    <w:rsid w:val="0001379F"/>
    <w:rsid w:val="00016A97"/>
    <w:rsid w:val="00025604"/>
    <w:rsid w:val="00041B5C"/>
    <w:rsid w:val="00043A44"/>
    <w:rsid w:val="00045E72"/>
    <w:rsid w:val="00057E99"/>
    <w:rsid w:val="000810C5"/>
    <w:rsid w:val="00090E79"/>
    <w:rsid w:val="000974E5"/>
    <w:rsid w:val="000A7123"/>
    <w:rsid w:val="000F2A05"/>
    <w:rsid w:val="000F2E3E"/>
    <w:rsid w:val="001062A7"/>
    <w:rsid w:val="0011310E"/>
    <w:rsid w:val="001265F0"/>
    <w:rsid w:val="0013571A"/>
    <w:rsid w:val="001463D3"/>
    <w:rsid w:val="001B2493"/>
    <w:rsid w:val="001C236C"/>
    <w:rsid w:val="001D244A"/>
    <w:rsid w:val="001E21EA"/>
    <w:rsid w:val="002431AA"/>
    <w:rsid w:val="002522DB"/>
    <w:rsid w:val="00264466"/>
    <w:rsid w:val="0027735F"/>
    <w:rsid w:val="00277514"/>
    <w:rsid w:val="00286BFE"/>
    <w:rsid w:val="00287689"/>
    <w:rsid w:val="002936D7"/>
    <w:rsid w:val="0029479C"/>
    <w:rsid w:val="00294B62"/>
    <w:rsid w:val="002B6F3C"/>
    <w:rsid w:val="002C4ADF"/>
    <w:rsid w:val="002C7E36"/>
    <w:rsid w:val="002D4C6E"/>
    <w:rsid w:val="002F68A3"/>
    <w:rsid w:val="0030551D"/>
    <w:rsid w:val="00316826"/>
    <w:rsid w:val="00320A16"/>
    <w:rsid w:val="003214FB"/>
    <w:rsid w:val="00323714"/>
    <w:rsid w:val="00334EDE"/>
    <w:rsid w:val="003731E4"/>
    <w:rsid w:val="00377475"/>
    <w:rsid w:val="00386875"/>
    <w:rsid w:val="003951DD"/>
    <w:rsid w:val="003D7DC7"/>
    <w:rsid w:val="003F02A6"/>
    <w:rsid w:val="003F156D"/>
    <w:rsid w:val="003F5678"/>
    <w:rsid w:val="00402BB3"/>
    <w:rsid w:val="00407D55"/>
    <w:rsid w:val="00410E45"/>
    <w:rsid w:val="004237DE"/>
    <w:rsid w:val="004319C3"/>
    <w:rsid w:val="00455796"/>
    <w:rsid w:val="0046368B"/>
    <w:rsid w:val="00471363"/>
    <w:rsid w:val="00481066"/>
    <w:rsid w:val="004872E0"/>
    <w:rsid w:val="0049098C"/>
    <w:rsid w:val="004A012E"/>
    <w:rsid w:val="004B5890"/>
    <w:rsid w:val="004F6027"/>
    <w:rsid w:val="00502C34"/>
    <w:rsid w:val="00506805"/>
    <w:rsid w:val="00513AE8"/>
    <w:rsid w:val="005208B8"/>
    <w:rsid w:val="005235F1"/>
    <w:rsid w:val="0053106C"/>
    <w:rsid w:val="005320BA"/>
    <w:rsid w:val="005409A1"/>
    <w:rsid w:val="00552959"/>
    <w:rsid w:val="00556F9A"/>
    <w:rsid w:val="0055714C"/>
    <w:rsid w:val="00562D3B"/>
    <w:rsid w:val="005639A2"/>
    <w:rsid w:val="00580867"/>
    <w:rsid w:val="00580C35"/>
    <w:rsid w:val="0058207B"/>
    <w:rsid w:val="00596F67"/>
    <w:rsid w:val="005A3390"/>
    <w:rsid w:val="005F6772"/>
    <w:rsid w:val="00602F25"/>
    <w:rsid w:val="006474BF"/>
    <w:rsid w:val="00647F9B"/>
    <w:rsid w:val="00650EF7"/>
    <w:rsid w:val="00666121"/>
    <w:rsid w:val="006A0154"/>
    <w:rsid w:val="006A119D"/>
    <w:rsid w:val="006A4CAB"/>
    <w:rsid w:val="006B3C89"/>
    <w:rsid w:val="006D7146"/>
    <w:rsid w:val="006E0C58"/>
    <w:rsid w:val="006E1815"/>
    <w:rsid w:val="006E1F77"/>
    <w:rsid w:val="006E4F98"/>
    <w:rsid w:val="006E7555"/>
    <w:rsid w:val="006F1BF1"/>
    <w:rsid w:val="007020E9"/>
    <w:rsid w:val="00702955"/>
    <w:rsid w:val="00704C89"/>
    <w:rsid w:val="00710506"/>
    <w:rsid w:val="00722A59"/>
    <w:rsid w:val="00737405"/>
    <w:rsid w:val="00763B8F"/>
    <w:rsid w:val="007701C3"/>
    <w:rsid w:val="00790095"/>
    <w:rsid w:val="0079173B"/>
    <w:rsid w:val="007A60F7"/>
    <w:rsid w:val="007B099B"/>
    <w:rsid w:val="007B2225"/>
    <w:rsid w:val="007B53A9"/>
    <w:rsid w:val="007C52A4"/>
    <w:rsid w:val="007E1E17"/>
    <w:rsid w:val="007F586D"/>
    <w:rsid w:val="00811204"/>
    <w:rsid w:val="008118CC"/>
    <w:rsid w:val="008257EF"/>
    <w:rsid w:val="00834053"/>
    <w:rsid w:val="00854782"/>
    <w:rsid w:val="00861C73"/>
    <w:rsid w:val="00861E77"/>
    <w:rsid w:val="00866C86"/>
    <w:rsid w:val="008835B4"/>
    <w:rsid w:val="00892F8B"/>
    <w:rsid w:val="008A0074"/>
    <w:rsid w:val="008A0A66"/>
    <w:rsid w:val="008A51F1"/>
    <w:rsid w:val="008B081E"/>
    <w:rsid w:val="008B5F41"/>
    <w:rsid w:val="008D0A2B"/>
    <w:rsid w:val="008D6A4E"/>
    <w:rsid w:val="009046C0"/>
    <w:rsid w:val="0092111A"/>
    <w:rsid w:val="009215FC"/>
    <w:rsid w:val="0097482B"/>
    <w:rsid w:val="009928E6"/>
    <w:rsid w:val="009A0174"/>
    <w:rsid w:val="009A279D"/>
    <w:rsid w:val="009C7035"/>
    <w:rsid w:val="009C7BE7"/>
    <w:rsid w:val="009D4EF2"/>
    <w:rsid w:val="009E6215"/>
    <w:rsid w:val="00A31FFF"/>
    <w:rsid w:val="00A43F8E"/>
    <w:rsid w:val="00A478F6"/>
    <w:rsid w:val="00A50A15"/>
    <w:rsid w:val="00A706F1"/>
    <w:rsid w:val="00A71783"/>
    <w:rsid w:val="00AB3931"/>
    <w:rsid w:val="00AB4166"/>
    <w:rsid w:val="00AC6D3E"/>
    <w:rsid w:val="00B12C02"/>
    <w:rsid w:val="00B23595"/>
    <w:rsid w:val="00B334A9"/>
    <w:rsid w:val="00B45296"/>
    <w:rsid w:val="00B46B77"/>
    <w:rsid w:val="00B53D45"/>
    <w:rsid w:val="00B63A37"/>
    <w:rsid w:val="00B63D8E"/>
    <w:rsid w:val="00B7509D"/>
    <w:rsid w:val="00B82B8C"/>
    <w:rsid w:val="00BA4A16"/>
    <w:rsid w:val="00BD670B"/>
    <w:rsid w:val="00BE777A"/>
    <w:rsid w:val="00BF627B"/>
    <w:rsid w:val="00C0171C"/>
    <w:rsid w:val="00C0181F"/>
    <w:rsid w:val="00C07112"/>
    <w:rsid w:val="00C12241"/>
    <w:rsid w:val="00C20EE0"/>
    <w:rsid w:val="00C4152F"/>
    <w:rsid w:val="00C45EB7"/>
    <w:rsid w:val="00C628AF"/>
    <w:rsid w:val="00C66BBA"/>
    <w:rsid w:val="00C828B3"/>
    <w:rsid w:val="00CE260C"/>
    <w:rsid w:val="00CF64E5"/>
    <w:rsid w:val="00D2327C"/>
    <w:rsid w:val="00D23A31"/>
    <w:rsid w:val="00D24290"/>
    <w:rsid w:val="00D33AE5"/>
    <w:rsid w:val="00D520F1"/>
    <w:rsid w:val="00D559F6"/>
    <w:rsid w:val="00D63541"/>
    <w:rsid w:val="00D75DD1"/>
    <w:rsid w:val="00D91D47"/>
    <w:rsid w:val="00D9523C"/>
    <w:rsid w:val="00DA41A2"/>
    <w:rsid w:val="00DA4A47"/>
    <w:rsid w:val="00DC13CC"/>
    <w:rsid w:val="00DC3E67"/>
    <w:rsid w:val="00DC58CE"/>
    <w:rsid w:val="00DF4E95"/>
    <w:rsid w:val="00E00126"/>
    <w:rsid w:val="00E159B9"/>
    <w:rsid w:val="00E2158B"/>
    <w:rsid w:val="00E27B18"/>
    <w:rsid w:val="00E3064C"/>
    <w:rsid w:val="00E33182"/>
    <w:rsid w:val="00E353EB"/>
    <w:rsid w:val="00E366CC"/>
    <w:rsid w:val="00E512AF"/>
    <w:rsid w:val="00E672E4"/>
    <w:rsid w:val="00E945F7"/>
    <w:rsid w:val="00EA69AE"/>
    <w:rsid w:val="00EC1829"/>
    <w:rsid w:val="00EC28D8"/>
    <w:rsid w:val="00ED1A01"/>
    <w:rsid w:val="00ED4179"/>
    <w:rsid w:val="00F022F1"/>
    <w:rsid w:val="00F12A02"/>
    <w:rsid w:val="00F23356"/>
    <w:rsid w:val="00F41720"/>
    <w:rsid w:val="00F4320D"/>
    <w:rsid w:val="00F53A12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2214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17</cp:revision>
  <cp:lastPrinted>2019-07-09T15:59:00Z</cp:lastPrinted>
  <dcterms:created xsi:type="dcterms:W3CDTF">2019-09-23T18:29:00Z</dcterms:created>
  <dcterms:modified xsi:type="dcterms:W3CDTF">2019-09-23T19:05:00Z</dcterms:modified>
</cp:coreProperties>
</file>