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5807BF">
        <w:rPr>
          <w:rFonts w:ascii="Verdana" w:hAnsi="Verdana"/>
          <w:b/>
          <w:sz w:val="22"/>
          <w:szCs w:val="22"/>
        </w:rPr>
        <w:t xml:space="preserve">PROCESSO LICITATÓRIO Nº </w:t>
      </w:r>
      <w:r w:rsidR="00A26611" w:rsidRPr="005807BF">
        <w:rPr>
          <w:rFonts w:ascii="Verdana" w:hAnsi="Verdana"/>
          <w:b/>
          <w:sz w:val="22"/>
          <w:szCs w:val="22"/>
        </w:rPr>
        <w:t>076/2019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E865F0" w:rsidRPr="005807BF">
        <w:rPr>
          <w:rFonts w:ascii="Verdana" w:hAnsi="Verdana" w:cs="Arial"/>
          <w:b/>
          <w:sz w:val="22"/>
          <w:szCs w:val="22"/>
        </w:rPr>
        <w:t>050/2019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ATA DE REGISTRO DE PREÇOS Nº </w:t>
      </w:r>
      <w:r w:rsidR="00C77E70" w:rsidRPr="005807BF">
        <w:rPr>
          <w:rFonts w:ascii="Verdana" w:hAnsi="Verdana" w:cs="Arial"/>
          <w:sz w:val="22"/>
          <w:szCs w:val="22"/>
        </w:rPr>
        <w:t>040/2019</w:t>
      </w:r>
      <w:r w:rsidRPr="005807BF">
        <w:rPr>
          <w:rFonts w:ascii="Verdana" w:hAnsi="Verdana" w:cs="Arial"/>
          <w:sz w:val="22"/>
          <w:szCs w:val="22"/>
        </w:rPr>
        <w:t>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PREGÃO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>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PROCESSO Nº </w:t>
      </w:r>
      <w:r w:rsidR="00A26611" w:rsidRPr="005807BF">
        <w:rPr>
          <w:rFonts w:ascii="Verdana" w:hAnsi="Verdana" w:cs="Arial"/>
          <w:sz w:val="22"/>
          <w:szCs w:val="22"/>
        </w:rPr>
        <w:t>076/2019</w:t>
      </w:r>
      <w:r w:rsidRPr="005807BF">
        <w:rPr>
          <w:rFonts w:ascii="Verdana" w:hAnsi="Verdana" w:cs="Arial"/>
          <w:sz w:val="22"/>
          <w:szCs w:val="22"/>
        </w:rPr>
        <w:t>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>VALIDADE: 12 meses.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Aos </w:t>
      </w:r>
      <w:r w:rsidR="006D214F" w:rsidRPr="005807BF">
        <w:rPr>
          <w:rFonts w:ascii="Verdana" w:hAnsi="Verdana" w:cs="Arial"/>
          <w:sz w:val="22"/>
          <w:szCs w:val="22"/>
          <w:lang w:val="pt-BR"/>
        </w:rPr>
        <w:t xml:space="preserve">04 (quatro) </w:t>
      </w:r>
      <w:r w:rsidRPr="005807BF">
        <w:rPr>
          <w:rFonts w:ascii="Verdana" w:hAnsi="Verdana" w:cs="Arial"/>
          <w:sz w:val="22"/>
          <w:szCs w:val="22"/>
        </w:rPr>
        <w:t>dias do mês de</w:t>
      </w:r>
      <w:r w:rsidR="006D214F" w:rsidRPr="005807BF">
        <w:rPr>
          <w:rFonts w:ascii="Verdana" w:hAnsi="Verdana" w:cs="Arial"/>
          <w:sz w:val="22"/>
          <w:szCs w:val="22"/>
          <w:lang w:val="pt-BR"/>
        </w:rPr>
        <w:t xml:space="preserve"> outubro </w:t>
      </w:r>
      <w:r w:rsidRPr="005807BF">
        <w:rPr>
          <w:rFonts w:ascii="Verdana" w:hAnsi="Verdana" w:cs="Arial"/>
          <w:sz w:val="22"/>
          <w:szCs w:val="22"/>
        </w:rPr>
        <w:t xml:space="preserve">de </w:t>
      </w:r>
      <w:r w:rsidR="00C77E70" w:rsidRPr="005807BF">
        <w:rPr>
          <w:rFonts w:ascii="Verdana" w:hAnsi="Verdana" w:cs="Arial"/>
          <w:sz w:val="22"/>
          <w:szCs w:val="22"/>
          <w:lang w:val="pt-BR"/>
        </w:rPr>
        <w:t>2019</w:t>
      </w:r>
      <w:r w:rsidRPr="005807BF">
        <w:rPr>
          <w:rFonts w:ascii="Verdana" w:hAnsi="Verdana" w:cs="Arial"/>
          <w:sz w:val="22"/>
          <w:szCs w:val="22"/>
        </w:rPr>
        <w:t xml:space="preserve">, na sala de licitações, na sede da Prefeitura Municipal, situada </w:t>
      </w:r>
      <w:r w:rsidR="00B23812" w:rsidRPr="005807BF">
        <w:rPr>
          <w:rFonts w:ascii="Verdana" w:hAnsi="Verdana" w:cs="Arial"/>
          <w:sz w:val="22"/>
          <w:szCs w:val="22"/>
          <w:lang w:val="pt-BR"/>
        </w:rPr>
        <w:t>Avenida Francisco Valadares da Fonseca, nº. 250, bairro Vasco Lopes, Papagaios/MG, CEP 35.669-000</w:t>
      </w:r>
      <w:r w:rsidRPr="005807BF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B23812" w:rsidRPr="005807BF">
        <w:rPr>
          <w:rFonts w:ascii="Verdana" w:hAnsi="Verdana" w:cs="Arial"/>
          <w:sz w:val="22"/>
          <w:szCs w:val="22"/>
          <w:lang w:val="pt-BR"/>
        </w:rPr>
        <w:t xml:space="preserve">Mario Reis </w:t>
      </w:r>
      <w:proofErr w:type="spellStart"/>
      <w:r w:rsidR="00B23812" w:rsidRPr="005807BF">
        <w:rPr>
          <w:rFonts w:ascii="Verdana" w:hAnsi="Verdana" w:cs="Arial"/>
          <w:sz w:val="22"/>
          <w:szCs w:val="22"/>
          <w:lang w:val="pt-BR"/>
        </w:rPr>
        <w:t>Filgueiras</w:t>
      </w:r>
      <w:proofErr w:type="spellEnd"/>
      <w:r w:rsidRPr="005807BF">
        <w:rPr>
          <w:rFonts w:ascii="Verdana" w:hAnsi="Verdana" w:cs="Arial"/>
          <w:sz w:val="22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A26611" w:rsidRPr="005807BF">
        <w:rPr>
          <w:rFonts w:ascii="Verdana" w:hAnsi="Verdana" w:cs="Arial"/>
          <w:sz w:val="22"/>
          <w:szCs w:val="22"/>
        </w:rPr>
        <w:t>076/2019</w:t>
      </w:r>
      <w:r w:rsidRPr="005807BF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CC7A3E">
        <w:rPr>
          <w:rFonts w:ascii="Verdana" w:hAnsi="Verdana" w:cs="Arial"/>
          <w:b/>
          <w:sz w:val="22"/>
          <w:szCs w:val="22"/>
          <w:lang w:val="pt-BR"/>
        </w:rPr>
        <w:t>UNIFORMES DANNYELLEN GERALDA DIAS</w:t>
      </w:r>
      <w:r w:rsidRPr="005807BF">
        <w:rPr>
          <w:rFonts w:ascii="Verdana" w:hAnsi="Verdana" w:cs="Arial"/>
          <w:sz w:val="22"/>
          <w:szCs w:val="22"/>
        </w:rPr>
        <w:t xml:space="preserve">, localizado na </w:t>
      </w:r>
      <w:r w:rsidR="00CC7A3E">
        <w:rPr>
          <w:rFonts w:ascii="Verdana" w:hAnsi="Verdana" w:cs="Arial"/>
          <w:sz w:val="22"/>
          <w:szCs w:val="22"/>
          <w:lang w:val="pt-BR"/>
        </w:rPr>
        <w:t xml:space="preserve">Rua </w:t>
      </w:r>
      <w:proofErr w:type="spellStart"/>
      <w:r w:rsidR="00CC7A3E">
        <w:rPr>
          <w:rFonts w:ascii="Verdana" w:hAnsi="Verdana" w:cs="Arial"/>
          <w:sz w:val="22"/>
          <w:szCs w:val="22"/>
          <w:lang w:val="pt-BR"/>
        </w:rPr>
        <w:t>Ilicinia</w:t>
      </w:r>
      <w:proofErr w:type="spellEnd"/>
      <w:r w:rsidR="00CC7A3E">
        <w:rPr>
          <w:rFonts w:ascii="Verdana" w:hAnsi="Verdana" w:cs="Arial"/>
          <w:sz w:val="22"/>
          <w:szCs w:val="22"/>
          <w:lang w:val="pt-BR"/>
        </w:rPr>
        <w:t>, nº. 224, bairro Bom Pastor, Divinópolis/MG, CEP 35.500-186</w:t>
      </w:r>
      <w:r w:rsidR="002D0858" w:rsidRPr="005807BF">
        <w:rPr>
          <w:rFonts w:ascii="Verdana" w:hAnsi="Verdana" w:cs="Arial"/>
          <w:sz w:val="22"/>
          <w:szCs w:val="22"/>
        </w:rPr>
        <w:t xml:space="preserve">, cujo CNPJ é </w:t>
      </w:r>
      <w:r w:rsidR="00CC7A3E">
        <w:rPr>
          <w:rFonts w:ascii="Verdana" w:hAnsi="Verdana" w:cs="Arial"/>
          <w:sz w:val="22"/>
          <w:szCs w:val="22"/>
          <w:lang w:val="pt-BR"/>
        </w:rPr>
        <w:t>30.121.855/0001-31</w:t>
      </w:r>
      <w:r w:rsidRPr="005807BF">
        <w:rPr>
          <w:rFonts w:ascii="Verdana" w:hAnsi="Verdana" w:cs="Arial"/>
          <w:sz w:val="22"/>
          <w:szCs w:val="22"/>
        </w:rPr>
        <w:t xml:space="preserve">, neste ato representado por </w:t>
      </w:r>
      <w:proofErr w:type="spellStart"/>
      <w:r w:rsidR="00CC7A3E">
        <w:rPr>
          <w:rFonts w:ascii="Verdana" w:hAnsi="Verdana" w:cs="Arial"/>
          <w:sz w:val="22"/>
          <w:szCs w:val="22"/>
          <w:lang w:val="pt-BR"/>
        </w:rPr>
        <w:t>Dannyellen</w:t>
      </w:r>
      <w:proofErr w:type="spellEnd"/>
      <w:r w:rsidR="00CC7A3E">
        <w:rPr>
          <w:rFonts w:ascii="Verdana" w:hAnsi="Verdana" w:cs="Arial"/>
          <w:sz w:val="22"/>
          <w:szCs w:val="22"/>
          <w:lang w:val="pt-BR"/>
        </w:rPr>
        <w:t xml:space="preserve"> Geralda Dias</w:t>
      </w:r>
      <w:r w:rsidR="002D0858" w:rsidRPr="005807BF">
        <w:rPr>
          <w:rFonts w:ascii="Verdana" w:hAnsi="Verdana" w:cs="Arial"/>
          <w:sz w:val="22"/>
          <w:szCs w:val="22"/>
          <w:lang w:val="pt-BR"/>
        </w:rPr>
        <w:t xml:space="preserve">, inscrita no CPF/MF sob o nº. </w:t>
      </w:r>
      <w:r w:rsidR="00CC7A3E">
        <w:rPr>
          <w:rFonts w:ascii="Verdana" w:hAnsi="Verdana" w:cs="Arial"/>
          <w:sz w:val="22"/>
          <w:szCs w:val="22"/>
          <w:lang w:val="pt-BR"/>
        </w:rPr>
        <w:t>887.229.296-49</w:t>
      </w:r>
      <w:r w:rsidRPr="005807BF">
        <w:rPr>
          <w:rFonts w:ascii="Verdana" w:hAnsi="Verdana" w:cs="Arial"/>
          <w:sz w:val="22"/>
          <w:szCs w:val="22"/>
        </w:rPr>
        <w:t>, conforme quadro abaixo:</w:t>
      </w:r>
    </w:p>
    <w:p w:rsidR="003E1873" w:rsidRPr="005807BF" w:rsidRDefault="003E1873" w:rsidP="003E187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774"/>
        <w:gridCol w:w="880"/>
        <w:gridCol w:w="940"/>
        <w:gridCol w:w="1116"/>
        <w:gridCol w:w="979"/>
        <w:gridCol w:w="1097"/>
        <w:gridCol w:w="979"/>
        <w:gridCol w:w="1177"/>
      </w:tblGrid>
      <w:tr w:rsidR="00CC7A3E" w:rsidRPr="00CC7A3E" w:rsidTr="00CC7A3E">
        <w:trPr>
          <w:trHeight w:val="2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CC7A3E" w:rsidRPr="00CC7A3E" w:rsidTr="00CC7A3E">
        <w:trPr>
          <w:trHeight w:val="2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CC7A3E" w:rsidRPr="00CC7A3E" w:rsidTr="00CC7A3E">
        <w:trPr>
          <w:trHeight w:val="2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CC7A3E" w:rsidRPr="00CC7A3E" w:rsidTr="00CC7A3E">
        <w:trPr>
          <w:trHeight w:val="2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E" w:rsidRPr="00CC7A3E" w:rsidRDefault="00CC7A3E" w:rsidP="00CC7A3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CC7A3E" w:rsidRPr="00CC7A3E" w:rsidTr="00CC7A3E">
        <w:trPr>
          <w:trHeight w:val="3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CAMISETA MALHA FRIA, CORES DIVERSAS, GOLA CARECA, MANGA LONGA. IMPRESSÃO DAS LOGOMARCAS FRENTE/VERSO EM SILKSCREEN DE BOA QUALIDADE- TAMANHO P, M, G, GG E XG. IMPRESSÃO DE LOGOMARCAS, CONFORME MODELO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  23,30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6.990,00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6.990,00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3E" w:rsidRPr="00CC7A3E" w:rsidRDefault="00CC7A3E" w:rsidP="00CC7A3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CC7A3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34.950,00 </w:t>
            </w:r>
          </w:p>
        </w:tc>
      </w:tr>
    </w:tbl>
    <w:p w:rsidR="003E1873" w:rsidRPr="005807BF" w:rsidRDefault="003E1873" w:rsidP="003E1873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01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I </w:t>
      </w:r>
      <w:r w:rsidRPr="005807BF">
        <w:rPr>
          <w:rFonts w:ascii="Verdana" w:hAnsi="Verdana"/>
          <w:sz w:val="22"/>
          <w:szCs w:val="22"/>
        </w:rPr>
        <w:noBreakHyphen/>
        <w:t xml:space="preserve"> Os objetos do fornecimento/prestação de serviço são os produtos constantes </w:t>
      </w:r>
      <w:r w:rsidR="00C77E70" w:rsidRPr="005807BF">
        <w:rPr>
          <w:rFonts w:ascii="Verdana" w:hAnsi="Verdana"/>
          <w:sz w:val="22"/>
          <w:szCs w:val="22"/>
        </w:rPr>
        <w:t>do quadro acima</w:t>
      </w:r>
      <w:r w:rsidRPr="005807BF">
        <w:rPr>
          <w:rFonts w:ascii="Verdana" w:hAnsi="Verdana"/>
          <w:sz w:val="22"/>
          <w:szCs w:val="22"/>
        </w:rPr>
        <w:t>, em que são discriminados, a apresentação de cada produto, o consumo estimado e o prazo para entrega.</w:t>
      </w:r>
    </w:p>
    <w:p w:rsidR="003E1873" w:rsidRPr="005807B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02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E1873" w:rsidRPr="005807BF" w:rsidRDefault="003E1873" w:rsidP="003E1873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03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04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>.</w:t>
      </w:r>
    </w:p>
    <w:p w:rsidR="003E1873" w:rsidRPr="005807BF" w:rsidRDefault="003E1873" w:rsidP="003E1873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E1873" w:rsidRPr="005807BF" w:rsidRDefault="003E1873" w:rsidP="003E1873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E1873" w:rsidRPr="005807BF" w:rsidRDefault="003E1873" w:rsidP="003E1873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05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 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06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</w:t>
      </w:r>
      <w:r w:rsidRPr="005807BF">
        <w:rPr>
          <w:rFonts w:ascii="Verdana" w:hAnsi="Verdana" w:cs="Arial"/>
          <w:sz w:val="22"/>
          <w:szCs w:val="22"/>
        </w:rPr>
        <w:lastRenderedPageBreak/>
        <w:t xml:space="preserve">Fazenda, </w:t>
      </w:r>
      <w:r w:rsidRPr="005807BF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5807BF">
        <w:rPr>
          <w:rFonts w:ascii="Verdana" w:hAnsi="Verdana" w:cs="Arial"/>
          <w:sz w:val="22"/>
          <w:szCs w:val="22"/>
        </w:rPr>
        <w:t>definitivo pela unidade requisitante</w:t>
      </w:r>
      <w:r w:rsidRPr="005807BF">
        <w:rPr>
          <w:rFonts w:ascii="Verdana" w:hAnsi="Verdana" w:cs="Arial"/>
          <w:bCs/>
          <w:sz w:val="22"/>
          <w:szCs w:val="22"/>
        </w:rPr>
        <w:t xml:space="preserve"> do objeto, </w:t>
      </w:r>
      <w:r w:rsidRPr="005807BF">
        <w:rPr>
          <w:rFonts w:ascii="Verdana" w:hAnsi="Verdana" w:cs="Arial"/>
          <w:sz w:val="22"/>
          <w:szCs w:val="22"/>
        </w:rPr>
        <w:t>mediante apresentação da Nota Fiscal.</w:t>
      </w:r>
    </w:p>
    <w:p w:rsidR="003E1873" w:rsidRPr="005807BF" w:rsidRDefault="003E1873" w:rsidP="003E1873">
      <w:pPr>
        <w:jc w:val="both"/>
        <w:rPr>
          <w:rFonts w:ascii="Verdana" w:hAnsi="Verdana" w:cs="Arial"/>
          <w:bCs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</w:t>
      </w:r>
      <w:r w:rsidRPr="005807BF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I= (TX/100) </w:t>
      </w: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EM = I x N x VP, onde: </w:t>
      </w: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EM = Encargos moratórios; </w:t>
      </w: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E1873" w:rsidRPr="005807BF" w:rsidRDefault="003E1873" w:rsidP="003E1873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>VP = Valor da parcela em atraso</w:t>
      </w:r>
    </w:p>
    <w:p w:rsidR="003E1873" w:rsidRPr="005807BF" w:rsidRDefault="003E1873" w:rsidP="003E1873">
      <w:pPr>
        <w:jc w:val="both"/>
        <w:rPr>
          <w:rFonts w:ascii="Verdana" w:hAnsi="Verdana" w:cs="Arial"/>
          <w:bCs/>
          <w:sz w:val="22"/>
          <w:szCs w:val="22"/>
        </w:rPr>
      </w:pPr>
    </w:p>
    <w:p w:rsidR="003E1873" w:rsidRPr="005807BF" w:rsidRDefault="003E1873" w:rsidP="003E1873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07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DAS CONDIÇÕES DA PRESTAÇÃO DOS SERVIÇOS</w:t>
      </w:r>
    </w:p>
    <w:p w:rsidR="003E1873" w:rsidRPr="005807BF" w:rsidRDefault="003E1873" w:rsidP="003E1873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807BF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5807BF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807BF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Fatura, conforme o caso.</w:t>
      </w: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807BF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5807BF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807BF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5807BF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807BF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5807BF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>VI – Apresentar a atualização, a cada 180 dias, da Certidão Negativa de Débito Trabalhista (CNDT) referida na Lei nº 12.440 de 07.07.2011.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08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</w:t>
      </w:r>
      <w:r w:rsidRPr="005807BF">
        <w:rPr>
          <w:rFonts w:ascii="Verdana" w:hAnsi="Verdana" w:cs="Arial"/>
          <w:sz w:val="22"/>
          <w:szCs w:val="22"/>
        </w:rPr>
        <w:lastRenderedPageBreak/>
        <w:t>enunciadas no art. 87 da Lei Federal 8.666/93, com as alterações que lhe foram introduzidas pela Lei Federal 8.883/94, ao critério da Administração.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376B81" w:rsidRPr="005807BF">
        <w:rPr>
          <w:rFonts w:ascii="Verdana" w:hAnsi="Verdana" w:cs="Arial"/>
          <w:sz w:val="22"/>
          <w:szCs w:val="22"/>
        </w:rPr>
        <w:t>cinquenta</w:t>
      </w:r>
      <w:r w:rsidRPr="005807BF">
        <w:rPr>
          <w:rFonts w:ascii="Verdana" w:hAnsi="Verdana" w:cs="Arial"/>
          <w:sz w:val="22"/>
          <w:szCs w:val="22"/>
        </w:rPr>
        <w:t xml:space="preserve"> por cento) do valor do documento de empenhamento de recursos.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IV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09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 xml:space="preserve">, </w:t>
      </w:r>
      <w:r w:rsidR="00376B81" w:rsidRPr="005807BF">
        <w:rPr>
          <w:rFonts w:ascii="Verdana" w:hAnsi="Verdana" w:cs="Arial"/>
          <w:sz w:val="22"/>
          <w:szCs w:val="22"/>
        </w:rPr>
        <w:t>que</w:t>
      </w:r>
      <w:r w:rsidRPr="005807BF">
        <w:rPr>
          <w:rFonts w:ascii="Verdana" w:hAnsi="Verdana" w:cs="Arial"/>
          <w:sz w:val="22"/>
          <w:szCs w:val="22"/>
        </w:rPr>
        <w:t xml:space="preserve"> integra a presente Ata de Registro de Preços, ressalvados os casos de revisão de registro a que se refere o Decreto instituidor do Registro de preços.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10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E1873" w:rsidRPr="005807BF" w:rsidRDefault="003E1873" w:rsidP="003E1873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11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E1873" w:rsidRPr="005807BF" w:rsidRDefault="003E1873" w:rsidP="003E1873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>Pela Administração, quando:</w:t>
      </w: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lastRenderedPageBreak/>
        <w:t xml:space="preserve">A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5807BF">
        <w:rPr>
          <w:rFonts w:ascii="Verdana" w:hAnsi="Verdana" w:cs="Arial"/>
          <w:sz w:val="22"/>
          <w:szCs w:val="22"/>
        </w:rPr>
        <w:t>a</w:t>
      </w:r>
      <w:proofErr w:type="spellEnd"/>
      <w:r w:rsidRPr="005807BF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B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C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D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E1873" w:rsidRPr="005807BF" w:rsidRDefault="003E1873" w:rsidP="003E1873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E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F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E1873" w:rsidRPr="005807B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G </w:t>
      </w:r>
      <w:r w:rsidRPr="005807BF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E1873" w:rsidRPr="005807BF" w:rsidRDefault="003E1873" w:rsidP="003E1873">
      <w:pPr>
        <w:pStyle w:val="Recuodecorpodetexto23"/>
        <w:spacing w:after="0" w:line="200" w:lineRule="atLeast"/>
        <w:ind w:left="0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>Pelas detentoras, quando</w:t>
      </w:r>
      <w:r w:rsidRPr="005807BF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E1873" w:rsidRPr="005807BF" w:rsidRDefault="003E1873" w:rsidP="003E1873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</w:p>
    <w:p w:rsidR="003E1873" w:rsidRPr="005807BF" w:rsidRDefault="004D0A74" w:rsidP="003E1873">
      <w:pPr>
        <w:tabs>
          <w:tab w:val="left" w:pos="717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A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5807BF">
        <w:rPr>
          <w:rFonts w:ascii="Verdana" w:hAnsi="Verdana" w:cs="Arial"/>
          <w:sz w:val="22"/>
          <w:szCs w:val="22"/>
        </w:rPr>
        <w:t>A</w:t>
      </w:r>
      <w:proofErr w:type="spellEnd"/>
      <w:r w:rsidR="003E1873" w:rsidRPr="005807BF">
        <w:rPr>
          <w:rFonts w:ascii="Verdana" w:hAnsi="Verdana" w:cs="Arial"/>
          <w:sz w:val="22"/>
          <w:szCs w:val="22"/>
        </w:rPr>
        <w:t xml:space="preserve"> solicitação das detentoras para cancelamento dos preços registrados </w:t>
      </w:r>
      <w:r w:rsidRPr="005807BF">
        <w:rPr>
          <w:rFonts w:ascii="Verdana" w:hAnsi="Verdana" w:cs="Arial"/>
          <w:sz w:val="22"/>
          <w:szCs w:val="22"/>
        </w:rPr>
        <w:t>deverá</w:t>
      </w:r>
      <w:r w:rsidR="003E1873" w:rsidRPr="005807BF">
        <w:rPr>
          <w:rFonts w:ascii="Verdana" w:hAnsi="Verdana" w:cs="Arial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3E1873" w:rsidRPr="005807BF" w:rsidRDefault="003E1873" w:rsidP="003E1873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12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DA AUTORIZAÇÃO PARA PRESTAÇÃO DOS SERVIÇOS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>I</w:t>
      </w:r>
      <w:r w:rsidRPr="005807BF">
        <w:rPr>
          <w:rFonts w:ascii="Verdana" w:hAnsi="Verdana" w:cs="Arial"/>
          <w:b/>
          <w:sz w:val="22"/>
          <w:szCs w:val="22"/>
        </w:rPr>
        <w:t xml:space="preserve"> </w:t>
      </w:r>
      <w:r w:rsidRPr="005807BF">
        <w:rPr>
          <w:rFonts w:ascii="Verdana" w:hAnsi="Verdana" w:cs="Arial"/>
          <w:b/>
          <w:sz w:val="22"/>
          <w:szCs w:val="22"/>
        </w:rPr>
        <w:noBreakHyphen/>
      </w:r>
      <w:r w:rsidRPr="005807BF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</w:t>
      </w:r>
      <w:r w:rsidR="003F5D0E" w:rsidRPr="005807BF">
        <w:rPr>
          <w:rFonts w:ascii="Verdana" w:hAnsi="Verdana" w:cs="Arial"/>
          <w:sz w:val="22"/>
          <w:szCs w:val="22"/>
        </w:rPr>
        <w:t>Secretário</w:t>
      </w:r>
      <w:r w:rsidRPr="005807BF">
        <w:rPr>
          <w:rFonts w:ascii="Verdana" w:hAnsi="Verdana" w:cs="Arial"/>
          <w:sz w:val="22"/>
          <w:szCs w:val="22"/>
        </w:rPr>
        <w:t xml:space="preserve"> requisitante.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color w:val="000000"/>
          <w:sz w:val="22"/>
          <w:szCs w:val="22"/>
        </w:rPr>
        <w:t xml:space="preserve">13- </w:t>
      </w:r>
      <w:r w:rsidRPr="005807BF">
        <w:rPr>
          <w:rFonts w:ascii="Verdana" w:hAnsi="Verdana" w:cs="Arial"/>
          <w:b/>
          <w:sz w:val="22"/>
          <w:szCs w:val="22"/>
        </w:rPr>
        <w:t>DAS DISPOSIÇÕES FINAIS</w:t>
      </w:r>
    </w:p>
    <w:p w:rsidR="003E1873" w:rsidRPr="005807BF" w:rsidRDefault="003E1873" w:rsidP="003E1873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 xml:space="preserve"> e as propostas das empresas classificadas no certame </w:t>
      </w:r>
      <w:r w:rsidR="004D0A74" w:rsidRPr="005807BF">
        <w:rPr>
          <w:rFonts w:ascii="Verdana" w:hAnsi="Verdana" w:cs="Arial"/>
          <w:sz w:val="22"/>
          <w:szCs w:val="22"/>
        </w:rPr>
        <w:t>supranumerado</w:t>
      </w:r>
      <w:r w:rsidRPr="005807BF">
        <w:rPr>
          <w:rFonts w:ascii="Verdana" w:hAnsi="Verdana" w:cs="Arial"/>
          <w:sz w:val="22"/>
          <w:szCs w:val="22"/>
        </w:rPr>
        <w:t>.</w:t>
      </w:r>
    </w:p>
    <w:p w:rsidR="003E1873" w:rsidRPr="005807BF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lastRenderedPageBreak/>
        <w:t>14.2. Fica eleito o foro desta Comarca de Pitangui/MG para dirimir quaisquer questões decorrentes da utilização da presente Ata.</w:t>
      </w:r>
    </w:p>
    <w:p w:rsidR="003E1873" w:rsidRPr="005807BF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center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Papagaios, </w:t>
      </w:r>
      <w:r w:rsidR="002D0858" w:rsidRPr="005807BF">
        <w:rPr>
          <w:rFonts w:ascii="Verdana" w:hAnsi="Verdana" w:cs="Arial"/>
          <w:sz w:val="22"/>
          <w:szCs w:val="22"/>
        </w:rPr>
        <w:t>04 de outubro de 2019</w:t>
      </w:r>
      <w:r w:rsidRPr="005807BF">
        <w:rPr>
          <w:rFonts w:ascii="Verdana" w:hAnsi="Verdana" w:cs="Arial"/>
          <w:sz w:val="22"/>
          <w:szCs w:val="22"/>
        </w:rPr>
        <w:t>.</w:t>
      </w:r>
    </w:p>
    <w:p w:rsidR="003E1873" w:rsidRPr="005807BF" w:rsidRDefault="003E1873" w:rsidP="003E1873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3E1873" w:rsidRPr="005807BF" w:rsidRDefault="003E1873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  <w:lang w:val="pt-BR"/>
        </w:rPr>
      </w:pPr>
      <w:r w:rsidRPr="005807BF">
        <w:rPr>
          <w:rFonts w:ascii="Verdana" w:hAnsi="Verdana" w:cs="Arial"/>
          <w:sz w:val="22"/>
          <w:szCs w:val="22"/>
          <w:lang w:val="pt-BR"/>
        </w:rPr>
        <w:t xml:space="preserve">Mário Reis </w:t>
      </w:r>
      <w:proofErr w:type="spellStart"/>
      <w:r w:rsidRPr="005807BF">
        <w:rPr>
          <w:rFonts w:ascii="Verdana" w:hAnsi="Verdana" w:cs="Arial"/>
          <w:sz w:val="22"/>
          <w:szCs w:val="22"/>
          <w:lang w:val="pt-BR"/>
        </w:rPr>
        <w:t>Filgueiras</w:t>
      </w:r>
      <w:proofErr w:type="spellEnd"/>
    </w:p>
    <w:p w:rsidR="003E1873" w:rsidRPr="005807BF" w:rsidRDefault="003E1873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3E1873" w:rsidRPr="005807BF" w:rsidRDefault="00CC7A3E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 xml:space="preserve">Uniformes </w:t>
      </w:r>
      <w:proofErr w:type="spellStart"/>
      <w:r>
        <w:rPr>
          <w:rFonts w:ascii="Verdana" w:hAnsi="Verdana" w:cs="Arial"/>
          <w:sz w:val="22"/>
          <w:szCs w:val="22"/>
          <w:lang w:val="pt-BR"/>
        </w:rPr>
        <w:t>Dannyellen</w:t>
      </w:r>
      <w:proofErr w:type="spellEnd"/>
      <w:r>
        <w:rPr>
          <w:rFonts w:ascii="Verdana" w:hAnsi="Verdana" w:cs="Arial"/>
          <w:sz w:val="22"/>
          <w:szCs w:val="22"/>
          <w:lang w:val="pt-BR"/>
        </w:rPr>
        <w:t xml:space="preserve"> Geralda Dias</w:t>
      </w:r>
    </w:p>
    <w:p w:rsidR="002D0858" w:rsidRPr="005807BF" w:rsidRDefault="002D0858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  <w:lang w:val="pt-BR"/>
        </w:rPr>
      </w:pPr>
      <w:r w:rsidRPr="005807BF">
        <w:rPr>
          <w:rFonts w:ascii="Verdana" w:hAnsi="Verdana" w:cs="Arial"/>
          <w:sz w:val="22"/>
          <w:szCs w:val="22"/>
          <w:lang w:val="pt-BR"/>
        </w:rPr>
        <w:t xml:space="preserve">CNPJ/MF </w:t>
      </w:r>
      <w:r w:rsidR="00CC7A3E">
        <w:rPr>
          <w:rFonts w:ascii="Verdana" w:hAnsi="Verdana" w:cs="Arial"/>
          <w:sz w:val="22"/>
          <w:szCs w:val="22"/>
          <w:lang w:val="pt-BR"/>
        </w:rPr>
        <w:t>30.121.855/0001-31</w:t>
      </w:r>
    </w:p>
    <w:sectPr w:rsidR="002D0858" w:rsidRPr="005807BF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BC" w:rsidRDefault="00D371BC" w:rsidP="00E00126">
      <w:r>
        <w:separator/>
      </w:r>
    </w:p>
  </w:endnote>
  <w:endnote w:type="continuationSeparator" w:id="0">
    <w:p w:rsidR="00D371BC" w:rsidRDefault="00D371B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A6" w:rsidRPr="003E1873" w:rsidRDefault="007B73A6" w:rsidP="009D36CA">
    <w:pPr>
      <w:pStyle w:val="Rodap"/>
      <w:ind w:left="-142"/>
      <w:jc w:val="center"/>
      <w:rPr>
        <w:sz w:val="20"/>
        <w:szCs w:val="20"/>
      </w:rPr>
    </w:pPr>
    <w:r w:rsidRPr="003E1873">
      <w:rPr>
        <w:sz w:val="20"/>
        <w:szCs w:val="20"/>
      </w:rPr>
      <w:t>RUA FRANCISCO VALADARES DA FONSECA, 250 PABX (37)3274-1260 – BAIRRO VASCO LOPES</w:t>
    </w:r>
  </w:p>
  <w:p w:rsidR="007B73A6" w:rsidRPr="003E1873" w:rsidRDefault="007B73A6" w:rsidP="009D36CA">
    <w:pPr>
      <w:pStyle w:val="Rodap"/>
      <w:ind w:left="-142"/>
      <w:jc w:val="center"/>
      <w:rPr>
        <w:sz w:val="20"/>
        <w:szCs w:val="20"/>
      </w:rPr>
    </w:pPr>
    <w:r w:rsidRPr="003E1873">
      <w:rPr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BC" w:rsidRDefault="00D371BC" w:rsidP="00E00126">
      <w:r>
        <w:separator/>
      </w:r>
    </w:p>
  </w:footnote>
  <w:footnote w:type="continuationSeparator" w:id="0">
    <w:p w:rsidR="00D371BC" w:rsidRDefault="00D371B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B73A6" w:rsidTr="00E33182">
      <w:trPr>
        <w:trHeight w:val="781"/>
      </w:trPr>
      <w:tc>
        <w:tcPr>
          <w:tcW w:w="2127" w:type="dxa"/>
          <w:vMerge w:val="restart"/>
          <w:vAlign w:val="center"/>
        </w:tcPr>
        <w:p w:rsidR="007B73A6" w:rsidRDefault="007B73A6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B73A6" w:rsidRPr="000015CB" w:rsidRDefault="007B73A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B73A6" w:rsidTr="000015CB">
      <w:trPr>
        <w:trHeight w:val="785"/>
      </w:trPr>
      <w:tc>
        <w:tcPr>
          <w:tcW w:w="2127" w:type="dxa"/>
          <w:vMerge/>
        </w:tcPr>
        <w:p w:rsidR="007B73A6" w:rsidRDefault="007B73A6">
          <w:pPr>
            <w:pStyle w:val="Cabealho"/>
          </w:pPr>
        </w:p>
      </w:tc>
      <w:tc>
        <w:tcPr>
          <w:tcW w:w="8930" w:type="dxa"/>
        </w:tcPr>
        <w:p w:rsidR="007B73A6" w:rsidRPr="002936D7" w:rsidRDefault="007B73A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B73A6" w:rsidRDefault="007B73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93965"/>
    <w:multiLevelType w:val="hybridMultilevel"/>
    <w:tmpl w:val="B91E5D0E"/>
    <w:lvl w:ilvl="0" w:tplc="FB2C63B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52CE"/>
    <w:multiLevelType w:val="hybridMultilevel"/>
    <w:tmpl w:val="8264A904"/>
    <w:lvl w:ilvl="0" w:tplc="CAA2209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F00AA"/>
    <w:multiLevelType w:val="hybridMultilevel"/>
    <w:tmpl w:val="E54ACA56"/>
    <w:lvl w:ilvl="0" w:tplc="46A6A1A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A51E2"/>
    <w:multiLevelType w:val="hybridMultilevel"/>
    <w:tmpl w:val="A81E0458"/>
    <w:lvl w:ilvl="0" w:tplc="FEAA78D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20E"/>
    <w:rsid w:val="000015CB"/>
    <w:rsid w:val="000A19D2"/>
    <w:rsid w:val="000D4725"/>
    <w:rsid w:val="001836FB"/>
    <w:rsid w:val="00184F64"/>
    <w:rsid w:val="001A4A1F"/>
    <w:rsid w:val="001E5C6A"/>
    <w:rsid w:val="00224E53"/>
    <w:rsid w:val="002936D7"/>
    <w:rsid w:val="002A173A"/>
    <w:rsid w:val="002C6DED"/>
    <w:rsid w:val="002D0858"/>
    <w:rsid w:val="002D33E4"/>
    <w:rsid w:val="002E3C68"/>
    <w:rsid w:val="002F1A0F"/>
    <w:rsid w:val="002F68A3"/>
    <w:rsid w:val="003138F8"/>
    <w:rsid w:val="00366017"/>
    <w:rsid w:val="00376B81"/>
    <w:rsid w:val="00380C44"/>
    <w:rsid w:val="003B5F2A"/>
    <w:rsid w:val="003E1873"/>
    <w:rsid w:val="003F5D0E"/>
    <w:rsid w:val="00412F8A"/>
    <w:rsid w:val="00416EDB"/>
    <w:rsid w:val="0049439B"/>
    <w:rsid w:val="004A061D"/>
    <w:rsid w:val="004D0A74"/>
    <w:rsid w:val="00515DC5"/>
    <w:rsid w:val="005264A3"/>
    <w:rsid w:val="005807BF"/>
    <w:rsid w:val="00590CE8"/>
    <w:rsid w:val="005E163B"/>
    <w:rsid w:val="00663593"/>
    <w:rsid w:val="00693C7E"/>
    <w:rsid w:val="00697894"/>
    <w:rsid w:val="006D214F"/>
    <w:rsid w:val="006D727C"/>
    <w:rsid w:val="006E63F4"/>
    <w:rsid w:val="006E7555"/>
    <w:rsid w:val="006F7A2D"/>
    <w:rsid w:val="00713815"/>
    <w:rsid w:val="00716B49"/>
    <w:rsid w:val="00761D2D"/>
    <w:rsid w:val="007A5496"/>
    <w:rsid w:val="007B2225"/>
    <w:rsid w:val="007B73A6"/>
    <w:rsid w:val="007C1393"/>
    <w:rsid w:val="007C78CC"/>
    <w:rsid w:val="007F54E2"/>
    <w:rsid w:val="008A3336"/>
    <w:rsid w:val="009342DC"/>
    <w:rsid w:val="00942AE5"/>
    <w:rsid w:val="0097482B"/>
    <w:rsid w:val="0098299D"/>
    <w:rsid w:val="009A6913"/>
    <w:rsid w:val="009B60DB"/>
    <w:rsid w:val="009D36CA"/>
    <w:rsid w:val="00A044ED"/>
    <w:rsid w:val="00A26611"/>
    <w:rsid w:val="00A61A6C"/>
    <w:rsid w:val="00A849C1"/>
    <w:rsid w:val="00A9627E"/>
    <w:rsid w:val="00A9766D"/>
    <w:rsid w:val="00AF6CED"/>
    <w:rsid w:val="00B23812"/>
    <w:rsid w:val="00B53D45"/>
    <w:rsid w:val="00C77E70"/>
    <w:rsid w:val="00C87B46"/>
    <w:rsid w:val="00C911D3"/>
    <w:rsid w:val="00CC7A3E"/>
    <w:rsid w:val="00D1652A"/>
    <w:rsid w:val="00D371BC"/>
    <w:rsid w:val="00D74326"/>
    <w:rsid w:val="00DE4E8B"/>
    <w:rsid w:val="00E00126"/>
    <w:rsid w:val="00E0246A"/>
    <w:rsid w:val="00E33182"/>
    <w:rsid w:val="00E352AA"/>
    <w:rsid w:val="00E42172"/>
    <w:rsid w:val="00E457A1"/>
    <w:rsid w:val="00E74A76"/>
    <w:rsid w:val="00E8655C"/>
    <w:rsid w:val="00E865F0"/>
    <w:rsid w:val="00EA4B53"/>
    <w:rsid w:val="00EB601E"/>
    <w:rsid w:val="00F433FC"/>
    <w:rsid w:val="00F57BC3"/>
    <w:rsid w:val="00F62406"/>
    <w:rsid w:val="00F72C31"/>
    <w:rsid w:val="00F9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23459-CC4F-4B56-A291-DC48ACE3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E1873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E1873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E1873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E1873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styleId="Hyperlink">
    <w:name w:val="Hyperlink"/>
    <w:semiHidden/>
    <w:rsid w:val="003E1873"/>
    <w:rPr>
      <w:strike w:val="0"/>
      <w:dstrike w:val="0"/>
      <w:color w:val="000099"/>
      <w:u w:val="none"/>
    </w:rPr>
  </w:style>
  <w:style w:type="paragraph" w:styleId="Corpodetexto">
    <w:name w:val="Body Text"/>
    <w:basedOn w:val="Normal"/>
    <w:link w:val="CorpodetextoChar"/>
    <w:rsid w:val="003E1873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3E18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semiHidden/>
    <w:rsid w:val="003E1873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E187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Resumo">
    <w:name w:val="Resumo"/>
    <w:basedOn w:val="Normal"/>
    <w:rsid w:val="003E1873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3E187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TextoBoletim">
    <w:name w:val="TextoBoletim"/>
    <w:basedOn w:val="Normal"/>
    <w:rsid w:val="003E1873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Recuodecorpodetexto34">
    <w:name w:val="Recuo de corpo de texto 34"/>
    <w:basedOn w:val="Normal"/>
    <w:rsid w:val="003E1873"/>
    <w:pPr>
      <w:spacing w:after="120"/>
      <w:ind w:left="283"/>
    </w:pPr>
    <w:rPr>
      <w:sz w:val="16"/>
      <w:szCs w:val="16"/>
    </w:rPr>
  </w:style>
  <w:style w:type="paragraph" w:customStyle="1" w:styleId="Textoembloco3">
    <w:name w:val="Texto em bloco3"/>
    <w:basedOn w:val="Normal"/>
    <w:rsid w:val="003E1873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Recuodecorpodetexto23">
    <w:name w:val="Recuo de corpo de texto 23"/>
    <w:basedOn w:val="Normal"/>
    <w:rsid w:val="003E1873"/>
    <w:pPr>
      <w:spacing w:after="120" w:line="480" w:lineRule="auto"/>
      <w:ind w:left="283"/>
    </w:pPr>
  </w:style>
  <w:style w:type="paragraph" w:customStyle="1" w:styleId="Recuodocorpodetexto">
    <w:name w:val="Recuo do corpo de texto"/>
    <w:basedOn w:val="WW-Padro"/>
    <w:rsid w:val="003E1873"/>
    <w:pPr>
      <w:ind w:left="709" w:firstLine="1"/>
    </w:pPr>
  </w:style>
  <w:style w:type="paragraph" w:customStyle="1" w:styleId="Preformatted">
    <w:name w:val="Preformatted"/>
    <w:basedOn w:val="Normal"/>
    <w:rsid w:val="003E18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1873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E18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Padro">
    <w:name w:val="Padrão"/>
    <w:qFormat/>
    <w:rsid w:val="003E1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3E1873"/>
    <w:pPr>
      <w:suppressAutoHyphens w:val="0"/>
      <w:spacing w:before="280"/>
      <w:jc w:val="both"/>
    </w:pPr>
    <w:rPr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DE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1673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2019-07-17T17:27:00Z</cp:lastPrinted>
  <dcterms:created xsi:type="dcterms:W3CDTF">2019-10-07T15:54:00Z</dcterms:created>
  <dcterms:modified xsi:type="dcterms:W3CDTF">2019-10-07T15:57:00Z</dcterms:modified>
</cp:coreProperties>
</file>