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61995">
        <w:rPr>
          <w:rFonts w:ascii="Cambria" w:hAnsi="Cambria"/>
          <w:b/>
          <w:color w:val="000000"/>
          <w:szCs w:val="24"/>
        </w:rPr>
        <w:t>032/2020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E61995">
        <w:rPr>
          <w:rFonts w:ascii="Cambria" w:hAnsi="Cambria"/>
          <w:b/>
          <w:color w:val="000000"/>
          <w:szCs w:val="24"/>
        </w:rPr>
        <w:t>017/2020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443E0F">
        <w:rPr>
          <w:rFonts w:ascii="Cambria" w:hAnsi="Cambria"/>
          <w:color w:val="000000"/>
          <w:szCs w:val="24"/>
        </w:rPr>
        <w:t>014</w:t>
      </w:r>
      <w:r w:rsidR="00357D85">
        <w:rPr>
          <w:rFonts w:ascii="Cambria" w:hAnsi="Cambria"/>
          <w:color w:val="000000"/>
          <w:szCs w:val="24"/>
        </w:rPr>
        <w:t>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E61995">
        <w:rPr>
          <w:rFonts w:ascii="Cambria" w:hAnsi="Cambria"/>
          <w:color w:val="000000"/>
          <w:szCs w:val="24"/>
        </w:rPr>
        <w:t>032/2020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3605FA">
        <w:rPr>
          <w:rFonts w:ascii="Cambria" w:hAnsi="Cambria" w:cs="Arial"/>
          <w:color w:val="000000"/>
        </w:rPr>
        <w:t xml:space="preserve">09 (nove) dias do mês de março de </w:t>
      </w:r>
      <w:r w:rsidR="00357D85">
        <w:rPr>
          <w:rFonts w:ascii="Cambria" w:hAnsi="Cambria" w:cs="Arial"/>
          <w:color w:val="000000"/>
        </w:rPr>
        <w:t>2020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605FA">
        <w:rPr>
          <w:rFonts w:ascii="Cambria" w:hAnsi="Cambria" w:cs="Arial"/>
          <w:color w:val="000000"/>
        </w:rPr>
        <w:t>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8D0C74">
        <w:rPr>
          <w:rFonts w:ascii="Cambria" w:hAnsi="Cambria" w:cs="Arial"/>
          <w:color w:val="000000"/>
        </w:rPr>
        <w:t>Mário Reis Filgueiras</w:t>
      </w:r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61995">
        <w:rPr>
          <w:rFonts w:ascii="Cambria" w:hAnsi="Cambria" w:cs="Arial"/>
          <w:color w:val="000000"/>
        </w:rPr>
        <w:t>017/2020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61995">
        <w:rPr>
          <w:rFonts w:ascii="Cambria" w:hAnsi="Cambria" w:cs="Arial"/>
          <w:color w:val="000000"/>
        </w:rPr>
        <w:t>032/2020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296976">
        <w:rPr>
          <w:rFonts w:ascii="Cambria" w:hAnsi="Cambria" w:cs="Arial"/>
          <w:b/>
          <w:color w:val="000000"/>
        </w:rPr>
        <w:t>META X INDUSTRIA E COMERCIO LTDA EPP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296976">
        <w:rPr>
          <w:rFonts w:ascii="Cambria" w:hAnsi="Cambria" w:cs="Arial"/>
          <w:color w:val="000000"/>
        </w:rPr>
        <w:t xml:space="preserve">Rua Roberto Honorio </w:t>
      </w:r>
      <w:r w:rsidR="00740904">
        <w:rPr>
          <w:rFonts w:ascii="Cambria" w:hAnsi="Cambria" w:cs="Arial"/>
          <w:color w:val="000000"/>
        </w:rPr>
        <w:t>da Costa, nº. 214, bairro Loteamento Distrito Industrial D. Carlos, Formiga/MG, CEP 35.570-000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157C0C">
        <w:rPr>
          <w:rFonts w:ascii="Cambria" w:hAnsi="Cambria" w:cs="Arial"/>
          <w:color w:val="000000"/>
        </w:rPr>
        <w:t>11.708.655/0001-35</w:t>
      </w:r>
      <w:r w:rsidR="002E340B">
        <w:rPr>
          <w:rFonts w:ascii="Cambria" w:hAnsi="Cambria" w:cs="Arial"/>
          <w:color w:val="000000"/>
        </w:rPr>
        <w:t xml:space="preserve">, neste ato representado por </w:t>
      </w:r>
      <w:r w:rsidR="00157C0C">
        <w:rPr>
          <w:rFonts w:ascii="Cambria" w:hAnsi="Cambria" w:cs="Arial"/>
          <w:color w:val="000000"/>
        </w:rPr>
        <w:t>Alencar Henrique Rodrigues</w:t>
      </w:r>
      <w:r w:rsidR="002E340B">
        <w:rPr>
          <w:rFonts w:ascii="Cambria" w:hAnsi="Cambria" w:cs="Arial"/>
          <w:color w:val="000000"/>
        </w:rPr>
        <w:t xml:space="preserve">, inscrito no CPF/MF sob o nº. </w:t>
      </w:r>
      <w:r w:rsidR="00157C0C">
        <w:rPr>
          <w:rFonts w:ascii="Cambria" w:hAnsi="Cambria" w:cs="Arial"/>
          <w:color w:val="000000"/>
        </w:rPr>
        <w:t>045.168.376-50</w:t>
      </w:r>
      <w:r w:rsidRPr="00173E14">
        <w:rPr>
          <w:rFonts w:ascii="Cambria" w:hAnsi="Cambria" w:cs="Arial"/>
          <w:color w:val="000000"/>
        </w:rPr>
        <w:t>, conforme quadro abaixo:</w:t>
      </w:r>
    </w:p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2193"/>
        <w:gridCol w:w="842"/>
        <w:gridCol w:w="938"/>
        <w:gridCol w:w="1037"/>
        <w:gridCol w:w="919"/>
        <w:gridCol w:w="1022"/>
        <w:gridCol w:w="919"/>
        <w:gridCol w:w="1022"/>
      </w:tblGrid>
      <w:tr w:rsidR="00296976" w:rsidRPr="00296976" w:rsidTr="00296976">
        <w:trPr>
          <w:trHeight w:val="20"/>
        </w:trPr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083" w:type="dxa"/>
            <w:vMerge w:val="restart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815" w:type="dxa"/>
            <w:gridSpan w:val="7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296976" w:rsidRPr="00296976" w:rsidTr="00296976">
        <w:trPr>
          <w:trHeight w:val="20"/>
        </w:trPr>
        <w:tc>
          <w:tcPr>
            <w:tcW w:w="522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51" w:type="dxa"/>
            <w:gridSpan w:val="3"/>
            <w:shd w:val="clear" w:color="000000" w:fill="BFBFB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982" w:type="dxa"/>
            <w:gridSpan w:val="2"/>
            <w:shd w:val="clear" w:color="000000" w:fill="BFBFB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982" w:type="dxa"/>
            <w:gridSpan w:val="2"/>
            <w:shd w:val="clear" w:color="000000" w:fill="BFBFB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296976" w:rsidRPr="00296976" w:rsidTr="00296976">
        <w:trPr>
          <w:trHeight w:val="276"/>
        </w:trPr>
        <w:tc>
          <w:tcPr>
            <w:tcW w:w="522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000000" w:fill="D9D9D9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Qtde Estimada</w:t>
            </w:r>
          </w:p>
        </w:tc>
        <w:tc>
          <w:tcPr>
            <w:tcW w:w="938" w:type="dxa"/>
            <w:vMerge w:val="restart"/>
            <w:shd w:val="clear" w:color="000000" w:fill="D9D9D9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063" w:type="dxa"/>
            <w:vMerge w:val="restart"/>
            <w:shd w:val="clear" w:color="000000" w:fill="D9D9D9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36" w:type="dxa"/>
            <w:vMerge w:val="restart"/>
            <w:shd w:val="clear" w:color="000000" w:fill="D9D9D9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46" w:type="dxa"/>
            <w:vMerge w:val="restart"/>
            <w:shd w:val="clear" w:color="000000" w:fill="D9D9D9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36" w:type="dxa"/>
            <w:vMerge w:val="restart"/>
            <w:shd w:val="clear" w:color="000000" w:fill="D9D9D9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Qtde. Estimada</w:t>
            </w:r>
          </w:p>
        </w:tc>
        <w:tc>
          <w:tcPr>
            <w:tcW w:w="1046" w:type="dxa"/>
            <w:vMerge w:val="restart"/>
            <w:shd w:val="clear" w:color="000000" w:fill="D9D9D9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296976" w:rsidRPr="00296976" w:rsidTr="00296976">
        <w:trPr>
          <w:trHeight w:val="276"/>
        </w:trPr>
        <w:tc>
          <w:tcPr>
            <w:tcW w:w="522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:rsidR="00296976" w:rsidRPr="00296976" w:rsidRDefault="00296976" w:rsidP="00296976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296976" w:rsidRPr="00296976" w:rsidTr="00296976">
        <w:trPr>
          <w:trHeight w:val="20"/>
        </w:trPr>
        <w:tc>
          <w:tcPr>
            <w:tcW w:w="522" w:type="dxa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CADEIRA SECRETÁRIA FIXA PÉ PALITO. Altura:85cm; altura encosto:36cm; largura assento:43</w:t>
            </w:r>
            <w:r w:rsidR="00E76015"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cm; profundidade</w:t>
            </w: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assento39</w:t>
            </w:r>
            <w:r w:rsidR="00E76015"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cm; peso</w:t>
            </w: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liq. Aproximado do produto:04Kg; cor:preta, material estofado tecido ou courvim.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102,00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51.000,00</w:t>
            </w:r>
          </w:p>
        </w:tc>
      </w:tr>
      <w:tr w:rsidR="00296976" w:rsidRPr="00296976" w:rsidTr="00296976">
        <w:trPr>
          <w:trHeight w:val="20"/>
        </w:trPr>
        <w:tc>
          <w:tcPr>
            <w:tcW w:w="522" w:type="dxa"/>
            <w:shd w:val="clear" w:color="auto" w:fill="auto"/>
            <w:noWrap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BANCO </w:t>
            </w:r>
            <w:r w:rsidR="00E76015"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GIRATÓRIO. Banco</w:t>
            </w: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giratório totalmente inox: Construído em tubos de 7/8", com 4 pés guarnecidos de ponteiras de PVC, totalmente em aço inoxidável, altura regulável.  Altura mínima: 0,47 m - Altura máxima: 0,61 m.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289,00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2.890,00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2.890,00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14.450,00</w:t>
            </w:r>
          </w:p>
        </w:tc>
      </w:tr>
      <w:tr w:rsidR="00296976" w:rsidRPr="00296976" w:rsidTr="00296976">
        <w:trPr>
          <w:trHeight w:val="20"/>
        </w:trPr>
        <w:tc>
          <w:tcPr>
            <w:tcW w:w="522" w:type="dxa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83" w:type="dxa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CADEIRA ALTA CAIXA BOLT.Estrutura em aço; espuma injetada e pistão a gás que proporciona a regulagem de altura,tipo de regulagem // altura do assento; tipo de </w:t>
            </w: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braço// braço regulável; tipo de base// estrela em aço;tipo de espuma//injetada;capacidade de carga//110 kg;altura máxima do assento ao chão//69cm;altura mínima do assento ao chão//58cm;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269,00</w:t>
            </w:r>
          </w:p>
        </w:tc>
        <w:tc>
          <w:tcPr>
            <w:tcW w:w="1063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807,00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807,00</w:t>
            </w:r>
          </w:p>
        </w:tc>
        <w:tc>
          <w:tcPr>
            <w:tcW w:w="93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6" w:type="dxa"/>
            <w:shd w:val="clear" w:color="000000" w:fill="FFFFFF"/>
            <w:vAlign w:val="center"/>
            <w:hideMark/>
          </w:tcPr>
          <w:p w:rsidR="00296976" w:rsidRPr="00296976" w:rsidRDefault="00296976" w:rsidP="00296976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296976">
              <w:rPr>
                <w:rFonts w:ascii="Cambria" w:hAnsi="Cambria" w:cs="Calibri"/>
                <w:color w:val="000000"/>
                <w:sz w:val="16"/>
                <w:szCs w:val="16"/>
              </w:rPr>
              <w:t>4.035,00</w:t>
            </w:r>
          </w:p>
        </w:tc>
      </w:tr>
    </w:tbl>
    <w:p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r w:rsidRPr="00173E14">
        <w:rPr>
          <w:rFonts w:ascii="Cambria" w:hAnsi="Cambria"/>
          <w:color w:val="000000"/>
        </w:rPr>
        <w:noBreakHyphen/>
        <w:t xml:space="preserve"> Os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.</w:t>
      </w: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preço unitário a ser pago será o constante das propostas apresentadas, no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r w:rsidRPr="00094E69">
        <w:rPr>
          <w:rFonts w:ascii="Cambria" w:hAnsi="Cambria"/>
          <w:szCs w:val="24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 </w:t>
      </w:r>
      <w:r w:rsidRPr="00094E69">
        <w:rPr>
          <w:rFonts w:ascii="Cambria" w:hAnsi="Cambria"/>
          <w:color w:val="000000"/>
          <w:szCs w:val="24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III </w:t>
      </w:r>
      <w:r w:rsidRPr="00173E14">
        <w:rPr>
          <w:rFonts w:ascii="Cambria" w:hAnsi="Cambria"/>
          <w:color w:val="000000"/>
          <w:szCs w:val="24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r w:rsidRPr="00173E14">
        <w:rPr>
          <w:rFonts w:ascii="Cambria" w:hAnsi="Cambria"/>
          <w:color w:val="000000"/>
          <w:szCs w:val="24"/>
        </w:rPr>
        <w:noBreakHyphen/>
        <w:t xml:space="preserve"> Os produtos deverão ser entregues acompanhados da Nota Fiscal ou Nota Fiscal Fatura, conforme o caso.</w:t>
      </w: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r w:rsidRPr="00173E14">
        <w:rPr>
          <w:rFonts w:ascii="Cambria" w:hAnsi="Cambria"/>
          <w:color w:val="000000"/>
          <w:szCs w:val="24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A) Advertência;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lastRenderedPageBreak/>
        <w:t>D) Multa de 20% (vinte por cento) sobre o valor do contrato, nos casos: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61995">
        <w:rPr>
          <w:rFonts w:ascii="Cambria" w:hAnsi="Cambria"/>
          <w:color w:val="000000"/>
          <w:szCs w:val="24"/>
        </w:rPr>
        <w:t>017/2020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cumprir as obrigações constantes desta Ata de Registro de Preços;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 aquisições do objeto da presente Ata de Registro de Preços serão autorizadas, caso a caso, pela Secretaria requisitante.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:rsidR="000E749E" w:rsidRDefault="000E749E" w:rsidP="000E749E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I - Integram esta Ata, o edital do Pregão nº 017/2020 e as propostas das empresas classificadas no certame supranumerado.</w:t>
      </w:r>
    </w:p>
    <w:p w:rsidR="000E749E" w:rsidRDefault="000E749E" w:rsidP="000E749E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0E749E" w:rsidRDefault="000E749E" w:rsidP="000E749E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 Fica eleito o foro desta Comarca de Pitangui/MG para dirimir quaisquer questões decorrentes da utilização da presente Ata.</w:t>
      </w:r>
    </w:p>
    <w:p w:rsidR="000E749E" w:rsidRDefault="000E749E" w:rsidP="000E749E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:rsidR="000E749E" w:rsidRDefault="000E749E" w:rsidP="000E749E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 Os casos omissos serão resolvidos de acordo com a Lei Federal 8.666/93, Lei 10.520/02 e demais normas aplicáveis. Subsidiariamente, aplicar-se-ão os princípios gerais de Direito.</w:t>
      </w:r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bookmarkStart w:id="0" w:name="_GoBack"/>
      <w:bookmarkEnd w:id="0"/>
    </w:p>
    <w:p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C8494A">
        <w:rPr>
          <w:rFonts w:ascii="Cambria" w:hAnsi="Cambria"/>
          <w:color w:val="000000"/>
          <w:szCs w:val="24"/>
        </w:rPr>
        <w:t>09 de março de 2020.</w:t>
      </w: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:rsidR="00D064A3" w:rsidRPr="00D064A3" w:rsidRDefault="00D064A3" w:rsidP="00D064A3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 w:rsidRPr="00D064A3">
        <w:rPr>
          <w:rFonts w:ascii="Cambria" w:hAnsi="Cambria" w:cs="Arial"/>
          <w:b/>
          <w:i/>
          <w:color w:val="000000"/>
        </w:rPr>
        <w:t>Mário Reis Filgueiras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:rsidR="00961925" w:rsidRPr="00D064A3" w:rsidRDefault="00296976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Meta X Indústria e Comércio Ltda EPP</w:t>
      </w:r>
    </w:p>
    <w:p w:rsidR="00961925" w:rsidRPr="00173E14" w:rsidRDefault="00D064A3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296976">
        <w:rPr>
          <w:rFonts w:ascii="Cambria" w:hAnsi="Cambria" w:cs="Arial"/>
          <w:color w:val="000000"/>
        </w:rPr>
        <w:t>18.493.830/0001-63</w:t>
      </w:r>
    </w:p>
    <w:sectPr w:rsidR="00961925" w:rsidRPr="00173E14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144" w:rsidRDefault="00A40144">
      <w:r>
        <w:separator/>
      </w:r>
    </w:p>
  </w:endnote>
  <w:endnote w:type="continuationSeparator" w:id="0">
    <w:p w:rsidR="00A40144" w:rsidRDefault="00A4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022" w:rsidRDefault="00273022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144" w:rsidRDefault="00A40144">
      <w:r>
        <w:separator/>
      </w:r>
    </w:p>
  </w:footnote>
  <w:footnote w:type="continuationSeparator" w:id="0">
    <w:p w:rsidR="00A40144" w:rsidRDefault="00A4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273022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73022" w:rsidRDefault="00273022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73022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73022" w:rsidRDefault="0027302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73022" w:rsidRDefault="00273022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5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8"/>
  </w:num>
  <w:num w:numId="3">
    <w:abstractNumId w:val="23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30"/>
  </w:num>
  <w:num w:numId="12">
    <w:abstractNumId w:val="14"/>
  </w:num>
  <w:num w:numId="13">
    <w:abstractNumId w:val="29"/>
  </w:num>
  <w:num w:numId="14">
    <w:abstractNumId w:val="18"/>
  </w:num>
  <w:num w:numId="15">
    <w:abstractNumId w:val="15"/>
  </w:num>
  <w:num w:numId="16">
    <w:abstractNumId w:val="17"/>
  </w:num>
  <w:num w:numId="17">
    <w:abstractNumId w:val="10"/>
  </w:num>
  <w:num w:numId="18">
    <w:abstractNumId w:val="6"/>
  </w:num>
  <w:num w:numId="19">
    <w:abstractNumId w:val="11"/>
  </w:num>
  <w:num w:numId="20">
    <w:abstractNumId w:val="13"/>
  </w:num>
  <w:num w:numId="21">
    <w:abstractNumId w:val="24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7"/>
  </w:num>
  <w:num w:numId="23">
    <w:abstractNumId w:val="28"/>
  </w:num>
  <w:num w:numId="24">
    <w:abstractNumId w:val="20"/>
  </w:num>
  <w:num w:numId="25">
    <w:abstractNumId w:val="22"/>
  </w:num>
  <w:num w:numId="26">
    <w:abstractNumId w:val="19"/>
  </w:num>
  <w:num w:numId="27">
    <w:abstractNumId w:val="27"/>
  </w:num>
  <w:num w:numId="28">
    <w:abstractNumId w:val="12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17AD"/>
    <w:rsid w:val="00044035"/>
    <w:rsid w:val="00050F88"/>
    <w:rsid w:val="0005239B"/>
    <w:rsid w:val="0005728F"/>
    <w:rsid w:val="0006281E"/>
    <w:rsid w:val="00062A3A"/>
    <w:rsid w:val="00071E54"/>
    <w:rsid w:val="000770C1"/>
    <w:rsid w:val="00083DD1"/>
    <w:rsid w:val="0008701C"/>
    <w:rsid w:val="00094E69"/>
    <w:rsid w:val="00095633"/>
    <w:rsid w:val="000E427B"/>
    <w:rsid w:val="000E479B"/>
    <w:rsid w:val="000E749E"/>
    <w:rsid w:val="0010144B"/>
    <w:rsid w:val="00157C0C"/>
    <w:rsid w:val="00173E14"/>
    <w:rsid w:val="001A15A9"/>
    <w:rsid w:val="001A5F93"/>
    <w:rsid w:val="001B5D1E"/>
    <w:rsid w:val="001D46C5"/>
    <w:rsid w:val="001E0899"/>
    <w:rsid w:val="00200713"/>
    <w:rsid w:val="00210FD8"/>
    <w:rsid w:val="00224B8B"/>
    <w:rsid w:val="00247BEF"/>
    <w:rsid w:val="0027092D"/>
    <w:rsid w:val="00273022"/>
    <w:rsid w:val="002770C2"/>
    <w:rsid w:val="00296976"/>
    <w:rsid w:val="002A01B8"/>
    <w:rsid w:val="002B7728"/>
    <w:rsid w:val="002C36F6"/>
    <w:rsid w:val="002C5D24"/>
    <w:rsid w:val="002D3DAC"/>
    <w:rsid w:val="002E340B"/>
    <w:rsid w:val="002E4F4B"/>
    <w:rsid w:val="00301908"/>
    <w:rsid w:val="00305E4E"/>
    <w:rsid w:val="003102B1"/>
    <w:rsid w:val="003209D5"/>
    <w:rsid w:val="003243CA"/>
    <w:rsid w:val="003457EA"/>
    <w:rsid w:val="00346EE3"/>
    <w:rsid w:val="00357D85"/>
    <w:rsid w:val="003605FA"/>
    <w:rsid w:val="00383162"/>
    <w:rsid w:val="0039711B"/>
    <w:rsid w:val="003A63D1"/>
    <w:rsid w:val="003B0F42"/>
    <w:rsid w:val="003C3B74"/>
    <w:rsid w:val="003C5BCC"/>
    <w:rsid w:val="003C6857"/>
    <w:rsid w:val="003C72FB"/>
    <w:rsid w:val="003D1005"/>
    <w:rsid w:val="003F46E8"/>
    <w:rsid w:val="003F55D1"/>
    <w:rsid w:val="004114C2"/>
    <w:rsid w:val="00420BEB"/>
    <w:rsid w:val="00443E0F"/>
    <w:rsid w:val="00451DFE"/>
    <w:rsid w:val="004526D9"/>
    <w:rsid w:val="004539B5"/>
    <w:rsid w:val="0045544C"/>
    <w:rsid w:val="00460ED7"/>
    <w:rsid w:val="00473CCA"/>
    <w:rsid w:val="004868C0"/>
    <w:rsid w:val="004A0C06"/>
    <w:rsid w:val="004B39EA"/>
    <w:rsid w:val="004E220D"/>
    <w:rsid w:val="004E6A8A"/>
    <w:rsid w:val="004F10A0"/>
    <w:rsid w:val="004F29E5"/>
    <w:rsid w:val="004F42C4"/>
    <w:rsid w:val="004F7F5C"/>
    <w:rsid w:val="005012C1"/>
    <w:rsid w:val="005101A8"/>
    <w:rsid w:val="00561D33"/>
    <w:rsid w:val="00573148"/>
    <w:rsid w:val="00575828"/>
    <w:rsid w:val="005937A6"/>
    <w:rsid w:val="005A0CC7"/>
    <w:rsid w:val="005A3440"/>
    <w:rsid w:val="005E2D2B"/>
    <w:rsid w:val="005E4232"/>
    <w:rsid w:val="005F7E83"/>
    <w:rsid w:val="00614622"/>
    <w:rsid w:val="0062065B"/>
    <w:rsid w:val="00625B74"/>
    <w:rsid w:val="00647358"/>
    <w:rsid w:val="00656F20"/>
    <w:rsid w:val="006630AF"/>
    <w:rsid w:val="0066409A"/>
    <w:rsid w:val="006709C5"/>
    <w:rsid w:val="006742FF"/>
    <w:rsid w:val="00681B7E"/>
    <w:rsid w:val="00694DC5"/>
    <w:rsid w:val="006A06B2"/>
    <w:rsid w:val="006C3979"/>
    <w:rsid w:val="006D15DD"/>
    <w:rsid w:val="006D7103"/>
    <w:rsid w:val="006E6F38"/>
    <w:rsid w:val="006E7153"/>
    <w:rsid w:val="006F2F8D"/>
    <w:rsid w:val="006F7B8E"/>
    <w:rsid w:val="007301AD"/>
    <w:rsid w:val="007312EE"/>
    <w:rsid w:val="00740904"/>
    <w:rsid w:val="0075147A"/>
    <w:rsid w:val="0076069D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D0C1B"/>
    <w:rsid w:val="007D35B8"/>
    <w:rsid w:val="007E5F65"/>
    <w:rsid w:val="007E65F8"/>
    <w:rsid w:val="007E7333"/>
    <w:rsid w:val="007F6918"/>
    <w:rsid w:val="008020A0"/>
    <w:rsid w:val="00804E05"/>
    <w:rsid w:val="00816A61"/>
    <w:rsid w:val="00823D9E"/>
    <w:rsid w:val="00840981"/>
    <w:rsid w:val="00844F2C"/>
    <w:rsid w:val="00853118"/>
    <w:rsid w:val="008537C3"/>
    <w:rsid w:val="00854DF8"/>
    <w:rsid w:val="00865AE6"/>
    <w:rsid w:val="008763DC"/>
    <w:rsid w:val="00884D83"/>
    <w:rsid w:val="00891BB4"/>
    <w:rsid w:val="008A4BCA"/>
    <w:rsid w:val="008A7C06"/>
    <w:rsid w:val="008C0F18"/>
    <w:rsid w:val="008D0C74"/>
    <w:rsid w:val="008D6E6C"/>
    <w:rsid w:val="008E594C"/>
    <w:rsid w:val="00914581"/>
    <w:rsid w:val="00920E2A"/>
    <w:rsid w:val="00934867"/>
    <w:rsid w:val="009615FB"/>
    <w:rsid w:val="00961925"/>
    <w:rsid w:val="00975DF9"/>
    <w:rsid w:val="00977B31"/>
    <w:rsid w:val="00980456"/>
    <w:rsid w:val="00981202"/>
    <w:rsid w:val="009B1C3D"/>
    <w:rsid w:val="009C09EF"/>
    <w:rsid w:val="009D484C"/>
    <w:rsid w:val="009F2237"/>
    <w:rsid w:val="00A125D8"/>
    <w:rsid w:val="00A15133"/>
    <w:rsid w:val="00A23322"/>
    <w:rsid w:val="00A309C3"/>
    <w:rsid w:val="00A31AC8"/>
    <w:rsid w:val="00A33EC6"/>
    <w:rsid w:val="00A40144"/>
    <w:rsid w:val="00A61E0C"/>
    <w:rsid w:val="00A644AA"/>
    <w:rsid w:val="00A64F5E"/>
    <w:rsid w:val="00A71E72"/>
    <w:rsid w:val="00A91212"/>
    <w:rsid w:val="00AB7BB6"/>
    <w:rsid w:val="00AC00CF"/>
    <w:rsid w:val="00AC0E53"/>
    <w:rsid w:val="00AC65DE"/>
    <w:rsid w:val="00AD0F4F"/>
    <w:rsid w:val="00AD2662"/>
    <w:rsid w:val="00AF33D5"/>
    <w:rsid w:val="00B00BE4"/>
    <w:rsid w:val="00B12C18"/>
    <w:rsid w:val="00B27EB9"/>
    <w:rsid w:val="00B328B9"/>
    <w:rsid w:val="00B32E89"/>
    <w:rsid w:val="00B92C88"/>
    <w:rsid w:val="00BA129C"/>
    <w:rsid w:val="00BA3FC8"/>
    <w:rsid w:val="00BA623F"/>
    <w:rsid w:val="00BD06EE"/>
    <w:rsid w:val="00C0281F"/>
    <w:rsid w:val="00C31066"/>
    <w:rsid w:val="00C37DC7"/>
    <w:rsid w:val="00C513D4"/>
    <w:rsid w:val="00C80443"/>
    <w:rsid w:val="00C8494A"/>
    <w:rsid w:val="00C91DDE"/>
    <w:rsid w:val="00CD19D5"/>
    <w:rsid w:val="00CE561B"/>
    <w:rsid w:val="00CE7F25"/>
    <w:rsid w:val="00CF5B1A"/>
    <w:rsid w:val="00D01E09"/>
    <w:rsid w:val="00D064A3"/>
    <w:rsid w:val="00D17C0D"/>
    <w:rsid w:val="00D358F0"/>
    <w:rsid w:val="00D55E83"/>
    <w:rsid w:val="00D84908"/>
    <w:rsid w:val="00D8534F"/>
    <w:rsid w:val="00D91CBE"/>
    <w:rsid w:val="00DB6A13"/>
    <w:rsid w:val="00DB6B1A"/>
    <w:rsid w:val="00DC18A7"/>
    <w:rsid w:val="00DE2653"/>
    <w:rsid w:val="00DE3EED"/>
    <w:rsid w:val="00DE67DD"/>
    <w:rsid w:val="00DF1244"/>
    <w:rsid w:val="00DF46D5"/>
    <w:rsid w:val="00E548A9"/>
    <w:rsid w:val="00E61995"/>
    <w:rsid w:val="00E76015"/>
    <w:rsid w:val="00E83D4F"/>
    <w:rsid w:val="00EB2761"/>
    <w:rsid w:val="00EB297B"/>
    <w:rsid w:val="00EB3B2C"/>
    <w:rsid w:val="00EC0FE8"/>
    <w:rsid w:val="00EE09C2"/>
    <w:rsid w:val="00EE128B"/>
    <w:rsid w:val="00EE7BC0"/>
    <w:rsid w:val="00F04523"/>
    <w:rsid w:val="00F07077"/>
    <w:rsid w:val="00F1182B"/>
    <w:rsid w:val="00F255A0"/>
    <w:rsid w:val="00F263B2"/>
    <w:rsid w:val="00F32291"/>
    <w:rsid w:val="00F330D2"/>
    <w:rsid w:val="00F33550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2042</Words>
  <Characters>11033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6</cp:revision>
  <cp:lastPrinted>2019-03-15T12:10:00Z</cp:lastPrinted>
  <dcterms:created xsi:type="dcterms:W3CDTF">2020-03-25T15:59:00Z</dcterms:created>
  <dcterms:modified xsi:type="dcterms:W3CDTF">2020-03-25T17:35:00Z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