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D4AE9B0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275E2">
        <w:rPr>
          <w:rFonts w:ascii="Cambria" w:hAnsi="Cambria"/>
          <w:b/>
          <w:color w:val="000000"/>
          <w:szCs w:val="24"/>
        </w:rPr>
        <w:t>092/2021</w:t>
      </w:r>
    </w:p>
    <w:p w14:paraId="46DB31F4" w14:textId="6F58F66A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275E2">
        <w:rPr>
          <w:rFonts w:ascii="Cambria" w:hAnsi="Cambria"/>
          <w:b/>
          <w:color w:val="000000"/>
          <w:szCs w:val="24"/>
        </w:rPr>
        <w:t>047/2021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010038C" w14:textId="77777777" w:rsidR="00F04A35" w:rsidRDefault="00F04A3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2A692DD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D85C00">
        <w:rPr>
          <w:rFonts w:ascii="Cambria" w:hAnsi="Cambria"/>
          <w:color w:val="000000"/>
          <w:szCs w:val="24"/>
        </w:rPr>
        <w:t>038/2021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1E5E0A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CF8E98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275E2">
        <w:rPr>
          <w:rFonts w:ascii="Cambria" w:hAnsi="Cambria"/>
          <w:color w:val="000000"/>
          <w:szCs w:val="24"/>
        </w:rPr>
        <w:t>092/2021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138452DD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234F9">
        <w:rPr>
          <w:rFonts w:ascii="Cambria" w:hAnsi="Cambria" w:cs="Arial"/>
          <w:color w:val="000000"/>
        </w:rPr>
        <w:t xml:space="preserve">13 (treze) dias </w:t>
      </w:r>
      <w:r w:rsidRPr="00173E14">
        <w:rPr>
          <w:rFonts w:ascii="Cambria" w:hAnsi="Cambria" w:cs="Arial"/>
          <w:color w:val="000000"/>
        </w:rPr>
        <w:t xml:space="preserve">do mês de </w:t>
      </w:r>
      <w:r w:rsidR="002234F9">
        <w:rPr>
          <w:rFonts w:ascii="Cambria" w:hAnsi="Cambria" w:cs="Arial"/>
          <w:color w:val="000000"/>
        </w:rPr>
        <w:t>agosto</w:t>
      </w:r>
      <w:r w:rsidRPr="00173E14">
        <w:rPr>
          <w:rFonts w:ascii="Cambria" w:hAnsi="Cambria" w:cs="Arial"/>
          <w:color w:val="000000"/>
        </w:rPr>
        <w:t xml:space="preserve">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1698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2713E3">
        <w:rPr>
          <w:rFonts w:ascii="Cambria" w:hAnsi="Cambria" w:cs="Arial"/>
          <w:color w:val="000000"/>
        </w:rPr>
        <w:t xml:space="preserve">Mário Reis </w:t>
      </w:r>
      <w:proofErr w:type="spellStart"/>
      <w:r w:rsidR="002713E3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275E2">
        <w:rPr>
          <w:rFonts w:ascii="Cambria" w:hAnsi="Cambria" w:cs="Arial"/>
          <w:color w:val="000000"/>
        </w:rPr>
        <w:t>047/2021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275E2">
        <w:rPr>
          <w:rFonts w:ascii="Cambria" w:hAnsi="Cambria" w:cs="Arial"/>
          <w:color w:val="000000"/>
        </w:rPr>
        <w:t>092/2021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B112B">
        <w:rPr>
          <w:rFonts w:ascii="Cambria" w:hAnsi="Cambria" w:cs="Arial"/>
          <w:b/>
          <w:bCs/>
          <w:color w:val="000000"/>
        </w:rPr>
        <w:t>MULTIMEDIC COMERCIAL LTDA - EPP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C46A24">
        <w:rPr>
          <w:rFonts w:ascii="Cambria" w:hAnsi="Cambria" w:cs="Arial"/>
          <w:color w:val="000000"/>
        </w:rPr>
        <w:t>R</w:t>
      </w:r>
      <w:r w:rsidR="00A40A1F">
        <w:rPr>
          <w:rFonts w:ascii="Cambria" w:hAnsi="Cambria" w:cs="Arial"/>
          <w:color w:val="000000"/>
        </w:rPr>
        <w:t xml:space="preserve">ua </w:t>
      </w:r>
      <w:proofErr w:type="spellStart"/>
      <w:r w:rsidR="00DB112B">
        <w:rPr>
          <w:rFonts w:ascii="Cambria" w:hAnsi="Cambria" w:cs="Arial"/>
          <w:color w:val="000000"/>
        </w:rPr>
        <w:t>Zely</w:t>
      </w:r>
      <w:proofErr w:type="spellEnd"/>
      <w:r w:rsidR="00DB112B">
        <w:rPr>
          <w:rFonts w:ascii="Cambria" w:hAnsi="Cambria" w:cs="Arial"/>
          <w:color w:val="000000"/>
        </w:rPr>
        <w:t xml:space="preserve"> Figueiredo</w:t>
      </w:r>
      <w:r w:rsidR="00A40A1F">
        <w:rPr>
          <w:rFonts w:ascii="Cambria" w:hAnsi="Cambria" w:cs="Arial"/>
          <w:color w:val="000000"/>
        </w:rPr>
        <w:t xml:space="preserve">, nº. </w:t>
      </w:r>
      <w:r w:rsidR="00DB112B">
        <w:rPr>
          <w:rFonts w:ascii="Cambria" w:hAnsi="Cambria" w:cs="Arial"/>
          <w:color w:val="000000"/>
        </w:rPr>
        <w:t>47,</w:t>
      </w:r>
      <w:r w:rsidR="00DB112B" w:rsidRPr="00173E14">
        <w:rPr>
          <w:rFonts w:ascii="Cambria" w:hAnsi="Cambria" w:cs="Arial"/>
          <w:color w:val="000000"/>
        </w:rPr>
        <w:t xml:space="preserve"> Bairro</w:t>
      </w:r>
      <w:r w:rsidR="00DB112B">
        <w:rPr>
          <w:rFonts w:ascii="Cambria" w:hAnsi="Cambria" w:cs="Arial"/>
          <w:color w:val="000000"/>
        </w:rPr>
        <w:t xml:space="preserve"> São João Batista, Santa Luzia/MG, CEP 33030-040</w:t>
      </w:r>
      <w:r w:rsidR="00A40A1F">
        <w:rPr>
          <w:rFonts w:ascii="Cambria" w:hAnsi="Cambria" w:cs="Arial"/>
          <w:color w:val="000000"/>
        </w:rPr>
        <w:t xml:space="preserve">, </w:t>
      </w:r>
      <w:r w:rsidRPr="00173E14">
        <w:rPr>
          <w:rFonts w:ascii="Cambria" w:hAnsi="Cambria" w:cs="Arial"/>
          <w:color w:val="000000"/>
        </w:rPr>
        <w:t xml:space="preserve">cujo CNPJ é </w:t>
      </w:r>
      <w:r w:rsidR="00DB112B">
        <w:rPr>
          <w:rFonts w:ascii="Cambria" w:hAnsi="Cambria" w:cs="Arial"/>
          <w:color w:val="000000"/>
        </w:rPr>
        <w:t>00.207.500/0001-07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DB112B">
        <w:rPr>
          <w:rFonts w:ascii="Cambria" w:hAnsi="Cambria" w:cs="Arial"/>
          <w:color w:val="000000"/>
        </w:rPr>
        <w:t>Mércia de Liz Gomes</w:t>
      </w:r>
      <w:r w:rsidR="00C46A24">
        <w:rPr>
          <w:rFonts w:ascii="Cambria" w:hAnsi="Cambria" w:cs="Arial"/>
          <w:color w:val="000000"/>
        </w:rPr>
        <w:t xml:space="preserve">, inscrito no CPF/MF sob o nº. </w:t>
      </w:r>
      <w:r w:rsidR="00DB112B">
        <w:rPr>
          <w:rFonts w:ascii="Cambria" w:hAnsi="Cambria" w:cs="Arial"/>
          <w:color w:val="000000"/>
        </w:rPr>
        <w:t>874.926.366-87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2"/>
        <w:gridCol w:w="877"/>
        <w:gridCol w:w="938"/>
        <w:gridCol w:w="1102"/>
        <w:gridCol w:w="969"/>
        <w:gridCol w:w="992"/>
        <w:gridCol w:w="969"/>
        <w:gridCol w:w="1092"/>
      </w:tblGrid>
      <w:tr w:rsidR="002101E5" w:rsidRPr="00915131" w14:paraId="7ED36DAE" w14:textId="77777777" w:rsidTr="006F53B7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0C5D4689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14:paraId="7167A9B1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39" w:type="dxa"/>
            <w:gridSpan w:val="7"/>
            <w:shd w:val="clear" w:color="auto" w:fill="auto"/>
            <w:vAlign w:val="center"/>
            <w:hideMark/>
          </w:tcPr>
          <w:p w14:paraId="30E5E6C9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6F53B7" w:rsidRPr="00915131" w14:paraId="4E5F6E92" w14:textId="77777777" w:rsidTr="006F53B7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1023A30D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4232E07F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shd w:val="clear" w:color="000000" w:fill="BFBFBF"/>
            <w:vAlign w:val="center"/>
            <w:hideMark/>
          </w:tcPr>
          <w:p w14:paraId="34DB3983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61" w:type="dxa"/>
            <w:gridSpan w:val="2"/>
            <w:shd w:val="clear" w:color="000000" w:fill="BFBFBF"/>
            <w:vAlign w:val="center"/>
            <w:hideMark/>
          </w:tcPr>
          <w:p w14:paraId="593A141B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1" w:type="dxa"/>
            <w:gridSpan w:val="2"/>
            <w:shd w:val="clear" w:color="000000" w:fill="BFBFBF"/>
            <w:vAlign w:val="center"/>
            <w:hideMark/>
          </w:tcPr>
          <w:p w14:paraId="24222E85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101E5" w:rsidRPr="00915131" w14:paraId="4C95AFF7" w14:textId="77777777" w:rsidTr="006F53B7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3E21B11A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2D941906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2590C835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3E5D689A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2" w:type="dxa"/>
            <w:vMerge w:val="restart"/>
            <w:shd w:val="clear" w:color="000000" w:fill="D9D9D9"/>
            <w:vAlign w:val="center"/>
            <w:hideMark/>
          </w:tcPr>
          <w:p w14:paraId="2082C380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5392BA06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14:paraId="3EF75EAF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32F825A2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74C88B52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101E5" w:rsidRPr="00915131" w14:paraId="45379B1A" w14:textId="77777777" w:rsidTr="006F53B7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58C7538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18799AB2" w14:textId="77777777" w:rsidR="002101E5" w:rsidRPr="00915131" w:rsidRDefault="002101E5" w:rsidP="009151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0C305EBB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36AEEB06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6F7B1CC5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610B985E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E13015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1DFE589E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419A67B6" w14:textId="77777777" w:rsidR="002101E5" w:rsidRPr="00915131" w:rsidRDefault="002101E5" w:rsidP="009151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101E5" w:rsidRPr="00915131" w14:paraId="31150B8A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1460021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57F90A2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Algodão hidrófilo – não estéril- 100 % algodão – 500 g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DC7BDB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A88603E" w14:textId="26F2BA49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CE102A4" w14:textId="06ACDD9A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12.200,00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F2F186F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C91F68" w14:textId="04B1661F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12.200,00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AC6C4C0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76F036" w14:textId="42D88C75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61.000,00</w:t>
            </w:r>
          </w:p>
        </w:tc>
      </w:tr>
      <w:tr w:rsidR="002101E5" w:rsidRPr="00915131" w14:paraId="503A02C5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F686CE6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4267D23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Antisséptico clorexidina solução a 2%, </w:t>
            </w:r>
            <w:proofErr w:type="gram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Pode</w:t>
            </w:r>
            <w:proofErr w:type="gram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ser usado tanto para desinfecção de preparos cavitários como para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anti-sepsia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das mãos do profissional e equipamentos. Forte ação </w:t>
            </w:r>
            <w:proofErr w:type="spellStart"/>
            <w:proofErr w:type="gram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anti-bacteriana</w:t>
            </w:r>
            <w:proofErr w:type="spellEnd"/>
            <w:proofErr w:type="gram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Produto de baixa </w:t>
            </w:r>
            <w:proofErr w:type="spellStart"/>
            <w:proofErr w:type="gram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toxidade.Solução</w:t>
            </w:r>
            <w:proofErr w:type="spellEnd"/>
            <w:proofErr w:type="gram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anti-séptica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com atividade antibacteriana. Indicado para desinfecção de preparos cavitários, </w:t>
            </w: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preparos em coroas,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inlays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anti-sepsia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das mãos do profissional, do pessoal auxiliar, na antissepsia </w:t>
            </w:r>
            <w:proofErr w:type="spellStart"/>
            <w:proofErr w:type="gram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extra-oral</w:t>
            </w:r>
            <w:proofErr w:type="spellEnd"/>
            <w:proofErr w:type="gram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prévia em áreas que sofrerão intervenção cirúrgica, das superfícies e instrumentos.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9B696D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C285FE7" w14:textId="45459C55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3F3EA92" w14:textId="6C8E12E0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F7AD215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DA50F6" w14:textId="6D817B84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360C569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821108" w14:textId="2891C8F8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101E5" w:rsidRPr="00915131" w14:paraId="57857641" w14:textId="77777777" w:rsidTr="006F53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C89131C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1AF0752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Avental descartável, avental TNT adulto, gramatura 40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B888B8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C61A998" w14:textId="1BA3E4BB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9B4399C" w14:textId="57425A12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212FD26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866EB9" w14:textId="630B6CCE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95299D5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E44610" w14:textId="430E68D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</w:tr>
      <w:tr w:rsidR="002101E5" w:rsidRPr="00915131" w14:paraId="096F17A4" w14:textId="77777777" w:rsidTr="006F53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6167827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70C3029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Clorexidina solução a 2% frasco 500 ml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9A04D04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5B76E2B" w14:textId="0CA0E56B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90A27B0" w14:textId="45111570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5A14A06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A1C622" w14:textId="5CA1E64D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43AED28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A8D31A" w14:textId="6E6EC12E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2101E5" w:rsidRPr="00915131" w14:paraId="70BD3DCD" w14:textId="77777777" w:rsidTr="006F53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5EA989E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3ED950E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Coletor de materiais perfuro cortantes – 13litros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C7C01A5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C57DC53" w14:textId="5AA662EE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1AC3DA3" w14:textId="528947E8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2.097,00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7C555C1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77A827" w14:textId="30895375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2.097,00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17AAE3F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7B64B4" w14:textId="5F25708A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10.485,00</w:t>
            </w:r>
          </w:p>
        </w:tc>
      </w:tr>
      <w:tr w:rsidR="002101E5" w:rsidRPr="00915131" w14:paraId="71295509" w14:textId="77777777" w:rsidTr="006F53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6F8E366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53898B2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Detergente enzimático elaborado com 4 enzimas, protease, amilase, lipase e carboidrase, contém tensoativos não iônicos. Indicado para a remoção de matéria orgânica como sangue, fezes, muco e fluidos orgânicos dos instrumentais cirúrgicos garantindo uma melhor desinfecção após limpeza. Recomendado para limpeza manual e para lavadoras </w:t>
            </w:r>
            <w:proofErr w:type="gram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ultra – sônicas</w:t>
            </w:r>
            <w:proofErr w:type="gram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diluição e tempo comprovados. PRODUTO BIODEGRADÁVEL</w:t>
            </w:r>
            <w:r w:rsidRPr="009151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746B9EE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F57D46C" w14:textId="5D0E289F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77D21D3" w14:textId="46F20DC9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4.120,00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6879FC1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086B94" w14:textId="7755D58A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4.120,00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A13FD03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DE1377" w14:textId="707ED731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20.600,00</w:t>
            </w:r>
          </w:p>
        </w:tc>
      </w:tr>
      <w:tr w:rsidR="002101E5" w:rsidRPr="00915131" w14:paraId="51A19FF7" w14:textId="77777777" w:rsidTr="006F53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9B01BFA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42E1A43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Fita adesiva autoclave 1042/s -19 mm x 30 m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B27162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3B46570" w14:textId="575CE47C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AA4534E" w14:textId="6C893E16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D1C941B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6A8F33" w14:textId="24742082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F0464A1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954ACE" w14:textId="7817B9F2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4.150,00</w:t>
            </w:r>
          </w:p>
        </w:tc>
      </w:tr>
      <w:tr w:rsidR="002101E5" w:rsidRPr="00915131" w14:paraId="7EDF9421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082A9B6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FB582EE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Gorro descartável, branco, tipo touca de banho, com elástico – pacote com 100 unidades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6CE02B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8E0A743" w14:textId="21BA2045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D7DA6C9" w14:textId="261AE180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44.800,00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87420A6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15398E" w14:textId="5866B4D0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44.800,00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B4DA75E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1AB67D" w14:textId="0AD260EC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224.000,00</w:t>
            </w:r>
          </w:p>
        </w:tc>
      </w:tr>
      <w:tr w:rsidR="002101E5" w:rsidRPr="00915131" w14:paraId="09B6269F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242B8BD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4B60327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Lâmina de bisturi nº15 C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A3B680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49D2358" w14:textId="0C5E0A78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38,95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B61AE74" w14:textId="1AF1420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2.337,00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D6E568E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FB6B30" w14:textId="7C6E269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2.337,00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44BF5F7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27E34A" w14:textId="1CF240E9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11.685,00</w:t>
            </w:r>
          </w:p>
        </w:tc>
      </w:tr>
      <w:tr w:rsidR="002101E5" w:rsidRPr="00915131" w14:paraId="49972586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BF4613B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942D922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Luva de vinil, hipoalergênica isenta de látex, tamanho P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90CD98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22C3973" w14:textId="605FFBC5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5A4ED16" w14:textId="10659C09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32825A8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396E80" w14:textId="4BE2B5DD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45127DA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7299B6" w14:textId="4B0B0B42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424.350,00</w:t>
            </w:r>
          </w:p>
        </w:tc>
      </w:tr>
      <w:tr w:rsidR="002101E5" w:rsidRPr="00915131" w14:paraId="62EFD1CA" w14:textId="77777777" w:rsidTr="006F53B7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687575A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12EF116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Luva de vinil, hipoalergênica isenta de látex, tamanho G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E3A738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892DB1A" w14:textId="18AC6218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4EC1A10" w14:textId="1EFD7DB1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0B09254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EA9B66" w14:textId="0B32DB4F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3586DB4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75371A" w14:textId="54419792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424.350,00</w:t>
            </w:r>
          </w:p>
        </w:tc>
      </w:tr>
      <w:tr w:rsidR="002101E5" w:rsidRPr="00915131" w14:paraId="0EA04497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55030DD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06F5924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Luva cirúrgica, tamanho </w:t>
            </w:r>
            <w:proofErr w:type="gram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06,  feita</w:t>
            </w:r>
            <w:proofErr w:type="gram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 com látex de borracha 100%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natural.Texturizada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 </w:t>
            </w: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palma da mão, anatômica, contendo pó de amido de milho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bioabsorvível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seu interior e punho com acabamento enrolado no seu fim, é de fácil colocação e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retirada.Esterilizada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por GAMA, é indicada para procedimentos cirúrgicos e proporciona uma barreira contra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contaminação.Produto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descartável e de uso único. Proibido reprocessar e necessário descartar em local para materiais contaminados após o uso.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ABB7F2A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60A33DE" w14:textId="5A547691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0749BAB" w14:textId="6A957DEF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484EF06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D2956B" w14:textId="063F20D8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5.970,00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BBAF45A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3CE94E" w14:textId="0F740980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29.850,00</w:t>
            </w:r>
          </w:p>
        </w:tc>
      </w:tr>
      <w:tr w:rsidR="002101E5" w:rsidRPr="00915131" w14:paraId="01F0B51F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57419A4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20878AD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Máscara tripla proteção, com excelente filtração bacteriana e resistente a líquidos e com perfeita adaptação à face. Caixa com 50 unidades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A0A655B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BDF2C19" w14:textId="35C78CAA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BABA555" w14:textId="276DDDA3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9.690,00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2F27716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CF4C3A" w14:textId="71591FBE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9.690,00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DAC209E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6C152F" w14:textId="0B4F61F6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48.450,00</w:t>
            </w:r>
          </w:p>
        </w:tc>
      </w:tr>
      <w:tr w:rsidR="002101E5" w:rsidRPr="00915131" w14:paraId="48A6478A" w14:textId="77777777" w:rsidTr="006F53B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A6126EE" w14:textId="77777777" w:rsidR="002101E5" w:rsidRPr="00915131" w:rsidRDefault="002101E5" w:rsidP="009151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C1F2293" w14:textId="77777777" w:rsidR="002101E5" w:rsidRPr="00915131" w:rsidRDefault="002101E5" w:rsidP="0091513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Óculos de segurança inteiriço com lente incolor, em policarbonato, com espessura mínima de 2 mm, tratamento de superfície </w:t>
            </w:r>
            <w:proofErr w:type="spellStart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anti-arranhões</w:t>
            </w:r>
            <w:proofErr w:type="spellEnd"/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camada ante embaçante através de banho de imersão permanente.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7E2F04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0DEA444" w14:textId="32E35B9C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8508930" w14:textId="0946D2E8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4ABD108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7EC42C" w14:textId="47637964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038A286" w14:textId="77777777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BFE704" w14:textId="57C8204C" w:rsidR="002101E5" w:rsidRPr="00915131" w:rsidRDefault="002101E5" w:rsidP="002101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15131">
              <w:rPr>
                <w:rFonts w:ascii="Cambria" w:hAnsi="Cambria" w:cs="Calibri"/>
                <w:color w:val="000000"/>
                <w:sz w:val="18"/>
                <w:szCs w:val="18"/>
              </w:rPr>
              <w:t>4.000,00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3C52973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25B28EB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5B918F72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lastRenderedPageBreak/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á multa equivalente a 10% do valor de sua proposta, sem prejuízo da aplicação da </w:t>
      </w:r>
      <w:r w:rsidRPr="00173E14">
        <w:rPr>
          <w:rFonts w:ascii="Cambria" w:hAnsi="Cambria"/>
          <w:color w:val="000000"/>
          <w:szCs w:val="24"/>
        </w:rPr>
        <w:lastRenderedPageBreak/>
        <w:t>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850A47C" w14:textId="77777777" w:rsidR="005D629B" w:rsidRDefault="005D629B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6F7CF85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50755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indicadas no preâmbulo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270CE30A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275E2">
        <w:rPr>
          <w:rFonts w:ascii="Cambria" w:hAnsi="Cambria" w:cs="Arial"/>
          <w:color w:val="000000"/>
        </w:rPr>
        <w:t>047/2021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7ACC15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F31A8">
        <w:rPr>
          <w:rFonts w:ascii="Cambria" w:hAnsi="Cambria"/>
          <w:color w:val="000000"/>
          <w:szCs w:val="24"/>
        </w:rPr>
        <w:t>13 de agosto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3C8001C5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D0B48A" w14:textId="77777777" w:rsidR="005D629B" w:rsidRPr="00173E14" w:rsidRDefault="005D629B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189B20F" w14:textId="77777777" w:rsidR="00BF31A8" w:rsidRPr="00BF31A8" w:rsidRDefault="00BF31A8" w:rsidP="00BF31A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F31A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F31A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3C80FD55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B837082" w14:textId="77777777" w:rsidR="005D629B" w:rsidRPr="00173E14" w:rsidRDefault="005D629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115C42ED" w:rsidR="00961925" w:rsidRPr="006F53B7" w:rsidRDefault="006F53B7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6F53B7">
        <w:rPr>
          <w:rFonts w:ascii="Cambria" w:hAnsi="Cambria" w:cs="Arial"/>
          <w:b/>
          <w:bCs/>
          <w:i/>
          <w:iCs/>
          <w:color w:val="000000"/>
        </w:rPr>
        <w:t>Multimedic</w:t>
      </w:r>
      <w:proofErr w:type="spellEnd"/>
      <w:r w:rsidRPr="006F53B7">
        <w:rPr>
          <w:rFonts w:ascii="Cambria" w:hAnsi="Cambria" w:cs="Arial"/>
          <w:b/>
          <w:bCs/>
          <w:i/>
          <w:iCs/>
          <w:color w:val="000000"/>
        </w:rPr>
        <w:t xml:space="preserve"> Comercial Ltda - </w:t>
      </w:r>
      <w:proofErr w:type="spellStart"/>
      <w:r w:rsidRPr="006F53B7">
        <w:rPr>
          <w:rFonts w:ascii="Cambria" w:hAnsi="Cambria" w:cs="Arial"/>
          <w:b/>
          <w:bCs/>
          <w:i/>
          <w:iCs/>
          <w:color w:val="000000"/>
        </w:rPr>
        <w:t>Epp</w:t>
      </w:r>
      <w:proofErr w:type="spellEnd"/>
    </w:p>
    <w:p w14:paraId="46DB32C2" w14:textId="6B821653" w:rsidR="00961925" w:rsidRDefault="00BF31A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6F53B7">
        <w:rPr>
          <w:rFonts w:ascii="Cambria" w:hAnsi="Cambria" w:cs="Arial"/>
          <w:color w:val="000000"/>
        </w:rPr>
        <w:t>00.207.500/0001-07</w:t>
      </w:r>
    </w:p>
    <w:sectPr w:rsidR="0096192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677F" w14:textId="77777777" w:rsidR="002439A0" w:rsidRDefault="002439A0">
      <w:r>
        <w:separator/>
      </w:r>
    </w:p>
  </w:endnote>
  <w:endnote w:type="continuationSeparator" w:id="0">
    <w:p w14:paraId="596092A5" w14:textId="77777777" w:rsidR="002439A0" w:rsidRDefault="002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554E" w14:textId="77777777" w:rsidR="002439A0" w:rsidRDefault="002439A0">
      <w:r>
        <w:separator/>
      </w:r>
    </w:p>
  </w:footnote>
  <w:footnote w:type="continuationSeparator" w:id="0">
    <w:p w14:paraId="0DB6D17B" w14:textId="77777777" w:rsidR="002439A0" w:rsidRDefault="002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125B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1E5"/>
    <w:rsid w:val="00210FD8"/>
    <w:rsid w:val="002234F9"/>
    <w:rsid w:val="002439A0"/>
    <w:rsid w:val="002476CF"/>
    <w:rsid w:val="00247BEF"/>
    <w:rsid w:val="0027092D"/>
    <w:rsid w:val="002713E3"/>
    <w:rsid w:val="00273022"/>
    <w:rsid w:val="00276B3F"/>
    <w:rsid w:val="002770C2"/>
    <w:rsid w:val="002A01B8"/>
    <w:rsid w:val="002B522C"/>
    <w:rsid w:val="002B7728"/>
    <w:rsid w:val="002C36F6"/>
    <w:rsid w:val="002C4A93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901C1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47CF8"/>
    <w:rsid w:val="004526D9"/>
    <w:rsid w:val="00453819"/>
    <w:rsid w:val="004539B5"/>
    <w:rsid w:val="0046055F"/>
    <w:rsid w:val="00460ED7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467"/>
    <w:rsid w:val="005101A8"/>
    <w:rsid w:val="00542B7A"/>
    <w:rsid w:val="00573148"/>
    <w:rsid w:val="005937A6"/>
    <w:rsid w:val="00595BF3"/>
    <w:rsid w:val="005A0CC7"/>
    <w:rsid w:val="005A3440"/>
    <w:rsid w:val="005D629B"/>
    <w:rsid w:val="005E4232"/>
    <w:rsid w:val="005F1399"/>
    <w:rsid w:val="005F7E83"/>
    <w:rsid w:val="00614622"/>
    <w:rsid w:val="00647358"/>
    <w:rsid w:val="00656F20"/>
    <w:rsid w:val="0066409A"/>
    <w:rsid w:val="006709C5"/>
    <w:rsid w:val="00676EF3"/>
    <w:rsid w:val="00694DC5"/>
    <w:rsid w:val="006A06B2"/>
    <w:rsid w:val="006C3979"/>
    <w:rsid w:val="006D7103"/>
    <w:rsid w:val="006E6F38"/>
    <w:rsid w:val="006E7153"/>
    <w:rsid w:val="006F2F8D"/>
    <w:rsid w:val="006F53B7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3FA6"/>
    <w:rsid w:val="008763DC"/>
    <w:rsid w:val="00890D14"/>
    <w:rsid w:val="00891BB4"/>
    <w:rsid w:val="008A4BCA"/>
    <w:rsid w:val="008D2D20"/>
    <w:rsid w:val="008D6E6C"/>
    <w:rsid w:val="008E594C"/>
    <w:rsid w:val="00912F36"/>
    <w:rsid w:val="00915131"/>
    <w:rsid w:val="009345DA"/>
    <w:rsid w:val="00934867"/>
    <w:rsid w:val="009615FB"/>
    <w:rsid w:val="00961925"/>
    <w:rsid w:val="00976E4C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40A1F"/>
    <w:rsid w:val="00A61E0C"/>
    <w:rsid w:val="00A644AA"/>
    <w:rsid w:val="00A64F5E"/>
    <w:rsid w:val="00A71E72"/>
    <w:rsid w:val="00AA4390"/>
    <w:rsid w:val="00AC0E53"/>
    <w:rsid w:val="00AC65DE"/>
    <w:rsid w:val="00AC7096"/>
    <w:rsid w:val="00AD0F4F"/>
    <w:rsid w:val="00AD2662"/>
    <w:rsid w:val="00AE7A63"/>
    <w:rsid w:val="00B00BE4"/>
    <w:rsid w:val="00B12E84"/>
    <w:rsid w:val="00B168C4"/>
    <w:rsid w:val="00B27EB9"/>
    <w:rsid w:val="00B328B9"/>
    <w:rsid w:val="00B32E89"/>
    <w:rsid w:val="00B92C88"/>
    <w:rsid w:val="00B940AC"/>
    <w:rsid w:val="00B957BC"/>
    <w:rsid w:val="00BA129C"/>
    <w:rsid w:val="00BA3FC8"/>
    <w:rsid w:val="00BA623F"/>
    <w:rsid w:val="00BD06EE"/>
    <w:rsid w:val="00BF31A8"/>
    <w:rsid w:val="00C275E2"/>
    <w:rsid w:val="00C31066"/>
    <w:rsid w:val="00C37DC7"/>
    <w:rsid w:val="00C46A24"/>
    <w:rsid w:val="00C513D4"/>
    <w:rsid w:val="00C610E1"/>
    <w:rsid w:val="00C7580C"/>
    <w:rsid w:val="00C80443"/>
    <w:rsid w:val="00CD19D5"/>
    <w:rsid w:val="00CE7F25"/>
    <w:rsid w:val="00CF5B1A"/>
    <w:rsid w:val="00D01E09"/>
    <w:rsid w:val="00D17C0D"/>
    <w:rsid w:val="00D31BF6"/>
    <w:rsid w:val="00D358F0"/>
    <w:rsid w:val="00D5154D"/>
    <w:rsid w:val="00D55E83"/>
    <w:rsid w:val="00D85C00"/>
    <w:rsid w:val="00DB112B"/>
    <w:rsid w:val="00DC18A7"/>
    <w:rsid w:val="00DE2653"/>
    <w:rsid w:val="00DE3EED"/>
    <w:rsid w:val="00DE67DD"/>
    <w:rsid w:val="00DF1244"/>
    <w:rsid w:val="00DF46D5"/>
    <w:rsid w:val="00E14E84"/>
    <w:rsid w:val="00E16988"/>
    <w:rsid w:val="00E548A9"/>
    <w:rsid w:val="00E76E67"/>
    <w:rsid w:val="00E83D4F"/>
    <w:rsid w:val="00EB2761"/>
    <w:rsid w:val="00EB3B2C"/>
    <w:rsid w:val="00EE09C2"/>
    <w:rsid w:val="00EE128B"/>
    <w:rsid w:val="00EF4CAC"/>
    <w:rsid w:val="00F04523"/>
    <w:rsid w:val="00F04A35"/>
    <w:rsid w:val="00F07077"/>
    <w:rsid w:val="00F1182B"/>
    <w:rsid w:val="00F255A0"/>
    <w:rsid w:val="00F263B2"/>
    <w:rsid w:val="00F32291"/>
    <w:rsid w:val="00F330D2"/>
    <w:rsid w:val="00F343DA"/>
    <w:rsid w:val="00F4219A"/>
    <w:rsid w:val="00F71E73"/>
    <w:rsid w:val="00F83F8D"/>
    <w:rsid w:val="00F858CD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963AC27-3A09-4A78-9724-09D2A94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2352</Words>
  <Characters>12707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5</cp:revision>
  <cp:lastPrinted>2019-03-15T12:10:00Z</cp:lastPrinted>
  <dcterms:created xsi:type="dcterms:W3CDTF">2021-09-08T12:54:00Z</dcterms:created>
  <dcterms:modified xsi:type="dcterms:W3CDTF">2021-09-08T19:24:00Z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