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F913B8C" w:rsidR="00961925" w:rsidRPr="00EB78E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4C696E">
        <w:rPr>
          <w:rFonts w:ascii="Cambria" w:hAnsi="Cambria"/>
          <w:b/>
          <w:szCs w:val="24"/>
        </w:rPr>
        <w:t>070/2022</w:t>
      </w:r>
    </w:p>
    <w:p w14:paraId="46DB31F4" w14:textId="6927CB2B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4C696E">
        <w:rPr>
          <w:rFonts w:ascii="Cambria" w:hAnsi="Cambria"/>
          <w:b/>
          <w:szCs w:val="24"/>
        </w:rPr>
        <w:t>043/2022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EB78E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597A501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F96A5D">
        <w:rPr>
          <w:rFonts w:ascii="Cambria" w:hAnsi="Cambria"/>
          <w:szCs w:val="24"/>
        </w:rPr>
        <w:t>036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35D8B199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1FC" w14:textId="1063940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4C696E">
        <w:rPr>
          <w:rFonts w:ascii="Cambria" w:hAnsi="Cambria"/>
          <w:szCs w:val="24"/>
        </w:rPr>
        <w:t>070/2022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6DB3201" w14:textId="3B615FCD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Aos</w:t>
      </w:r>
      <w:r w:rsidR="00A0436C">
        <w:rPr>
          <w:rFonts w:ascii="Cambria" w:hAnsi="Cambria" w:cs="Arial"/>
        </w:rPr>
        <w:t xml:space="preserve"> 20 (vinte) </w:t>
      </w:r>
      <w:r w:rsidRPr="00EB78E9">
        <w:rPr>
          <w:rFonts w:ascii="Cambria" w:hAnsi="Cambria" w:cs="Arial"/>
        </w:rPr>
        <w:t>dias do mês de</w:t>
      </w:r>
      <w:r w:rsidR="00A0436C">
        <w:rPr>
          <w:rFonts w:ascii="Cambria" w:hAnsi="Cambria" w:cs="Arial"/>
        </w:rPr>
        <w:t xml:space="preserve"> junho</w:t>
      </w:r>
      <w:r w:rsidRPr="00EB78E9">
        <w:rPr>
          <w:rFonts w:ascii="Cambria" w:hAnsi="Cambria" w:cs="Arial"/>
        </w:rPr>
        <w:t xml:space="preserve"> de </w:t>
      </w:r>
      <w:r w:rsidR="00226FA9">
        <w:rPr>
          <w:rFonts w:ascii="Cambria" w:hAnsi="Cambria" w:cs="Arial"/>
        </w:rPr>
        <w:t>2022</w:t>
      </w:r>
      <w:r w:rsidRPr="00EB78E9">
        <w:rPr>
          <w:rFonts w:ascii="Cambria" w:hAnsi="Cambria" w:cs="Arial"/>
        </w:rPr>
        <w:t xml:space="preserve">, na sala de licitações, na sede da Prefeitura Municipal, situada na </w:t>
      </w:r>
      <w:r w:rsidR="00417522">
        <w:rPr>
          <w:rFonts w:ascii="Cambria" w:hAnsi="Cambria" w:cs="Arial"/>
        </w:rPr>
        <w:t>Avenida Francisco Valadares da Fonseca, nº. 250, bairro Vasco Lopes</w:t>
      </w:r>
      <w:r w:rsidR="008E3AFA">
        <w:rPr>
          <w:rFonts w:ascii="Cambria" w:hAnsi="Cambria" w:cs="Arial"/>
        </w:rPr>
        <w:t>, Papagaios/MG, CEP 35.669-000</w:t>
      </w:r>
      <w:r w:rsidRPr="00EB78E9">
        <w:rPr>
          <w:rFonts w:ascii="Cambria" w:hAnsi="Cambria" w:cs="Arial"/>
        </w:rPr>
        <w:t xml:space="preserve">, o Exmo. Sr. Prefeito Municipal, Sr. </w:t>
      </w:r>
      <w:r w:rsidR="001C70DE">
        <w:rPr>
          <w:rFonts w:ascii="Cambria" w:hAnsi="Cambria" w:cs="Arial"/>
        </w:rPr>
        <w:t xml:space="preserve">Mário Reis </w:t>
      </w:r>
      <w:proofErr w:type="spellStart"/>
      <w:r w:rsidR="001C70DE">
        <w:rPr>
          <w:rFonts w:ascii="Cambria" w:hAnsi="Cambria" w:cs="Arial"/>
        </w:rPr>
        <w:t>Filgueiras</w:t>
      </w:r>
      <w:proofErr w:type="spellEnd"/>
      <w:r w:rsidRPr="00EB78E9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C696E">
        <w:rPr>
          <w:rFonts w:ascii="Cambria" w:hAnsi="Cambria" w:cs="Arial"/>
        </w:rPr>
        <w:t>043/2022</w:t>
      </w:r>
      <w:r w:rsidRPr="00EB78E9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C696E">
        <w:rPr>
          <w:rFonts w:ascii="Cambria" w:hAnsi="Cambria" w:cs="Arial"/>
        </w:rPr>
        <w:t>070/2022</w:t>
      </w:r>
      <w:r w:rsidRPr="00EB78E9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A630C6" w:rsidRPr="00C741A4">
        <w:rPr>
          <w:rFonts w:ascii="Cambria" w:hAnsi="Cambria" w:cs="Arial"/>
          <w:b/>
          <w:bCs/>
        </w:rPr>
        <w:t xml:space="preserve">MASTERINFOR </w:t>
      </w:r>
      <w:r w:rsidR="00C741A4" w:rsidRPr="00C741A4">
        <w:rPr>
          <w:rFonts w:ascii="Cambria" w:hAnsi="Cambria" w:cs="Arial"/>
          <w:b/>
          <w:bCs/>
        </w:rPr>
        <w:t>COMERCIAL E SUPRIMENTOS DE INFORMÁTICA EIRELI</w:t>
      </w:r>
      <w:r w:rsidRPr="00EB78E9">
        <w:rPr>
          <w:rFonts w:ascii="Cambria" w:hAnsi="Cambria" w:cs="Arial"/>
        </w:rPr>
        <w:t xml:space="preserve">, localizado na </w:t>
      </w:r>
      <w:r w:rsidR="00FC31BA">
        <w:rPr>
          <w:rFonts w:ascii="Cambria" w:hAnsi="Cambria" w:cs="Arial"/>
        </w:rPr>
        <w:t>Rua Meri</w:t>
      </w:r>
      <w:r w:rsidR="0061458F">
        <w:rPr>
          <w:rFonts w:ascii="Cambria" w:hAnsi="Cambria" w:cs="Arial"/>
        </w:rPr>
        <w:t>dional, nº. 180, bairro Conjunto Celso Machado, Belo Horizonte/MG, CEP 30.882-010</w:t>
      </w:r>
      <w:r w:rsidRPr="00EB78E9">
        <w:rPr>
          <w:rFonts w:ascii="Cambria" w:hAnsi="Cambria" w:cs="Arial"/>
        </w:rPr>
        <w:t xml:space="preserve">, cujo CNPJ é </w:t>
      </w:r>
      <w:r w:rsidR="002757E8">
        <w:rPr>
          <w:rFonts w:ascii="Cambria" w:hAnsi="Cambria" w:cs="Arial"/>
        </w:rPr>
        <w:t>19.454.333/0001-19</w:t>
      </w:r>
      <w:r w:rsidRPr="00EB78E9">
        <w:rPr>
          <w:rFonts w:ascii="Cambria" w:hAnsi="Cambria" w:cs="Arial"/>
        </w:rPr>
        <w:t xml:space="preserve">, neste ato representado por </w:t>
      </w:r>
      <w:r w:rsidR="00981FB8">
        <w:rPr>
          <w:rFonts w:ascii="Cambria" w:hAnsi="Cambria" w:cs="Arial"/>
        </w:rPr>
        <w:t>Marcos Paulo Melo Kern, inscrito no CPF/MF sob o nº. 116.598.056-86</w:t>
      </w:r>
      <w:r w:rsidRPr="00EB78E9">
        <w:rPr>
          <w:rFonts w:ascii="Cambria" w:hAnsi="Cambria" w:cs="Arial"/>
        </w:rPr>
        <w:t>, conforme quadro abaixo:</w:t>
      </w:r>
    </w:p>
    <w:p w14:paraId="46DB3202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117"/>
        <w:gridCol w:w="875"/>
        <w:gridCol w:w="938"/>
        <w:gridCol w:w="1083"/>
        <w:gridCol w:w="958"/>
        <w:gridCol w:w="1067"/>
        <w:gridCol w:w="958"/>
        <w:gridCol w:w="1083"/>
      </w:tblGrid>
      <w:tr w:rsidR="00E41EEF" w:rsidRPr="00900A6E" w14:paraId="32B28E78" w14:textId="77777777" w:rsidTr="00E41EEF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2F01F8FD" w14:textId="77777777" w:rsidR="00E41EEF" w:rsidRPr="00900A6E" w:rsidRDefault="00E41EEF" w:rsidP="00900A6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  <w:hideMark/>
          </w:tcPr>
          <w:p w14:paraId="79B9DE98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62" w:type="dxa"/>
            <w:gridSpan w:val="7"/>
            <w:shd w:val="clear" w:color="auto" w:fill="auto"/>
            <w:vAlign w:val="center"/>
            <w:hideMark/>
          </w:tcPr>
          <w:p w14:paraId="6A9D6181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E41EEF" w:rsidRPr="00900A6E" w14:paraId="10E2147F" w14:textId="77777777" w:rsidTr="00E41EEF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07106E0F" w14:textId="77777777" w:rsidR="00E41EEF" w:rsidRPr="00900A6E" w:rsidRDefault="00E41EEF" w:rsidP="00900A6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vMerge/>
            <w:vAlign w:val="center"/>
            <w:hideMark/>
          </w:tcPr>
          <w:p w14:paraId="1C5AEE79" w14:textId="77777777" w:rsidR="00E41EEF" w:rsidRPr="00900A6E" w:rsidRDefault="00E41EEF" w:rsidP="00900A6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shd w:val="clear" w:color="000000" w:fill="BFBFBF"/>
            <w:vAlign w:val="center"/>
            <w:hideMark/>
          </w:tcPr>
          <w:p w14:paraId="677B5433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25" w:type="dxa"/>
            <w:gridSpan w:val="2"/>
            <w:shd w:val="clear" w:color="000000" w:fill="BFBFBF"/>
            <w:vAlign w:val="center"/>
            <w:hideMark/>
          </w:tcPr>
          <w:p w14:paraId="015A03DE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41" w:type="dxa"/>
            <w:gridSpan w:val="2"/>
            <w:shd w:val="clear" w:color="000000" w:fill="BFBFBF"/>
            <w:vAlign w:val="center"/>
            <w:hideMark/>
          </w:tcPr>
          <w:p w14:paraId="75531F3B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E41EEF" w:rsidRPr="00900A6E" w14:paraId="66133BF3" w14:textId="77777777" w:rsidTr="00E41EEF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4C39071B" w14:textId="77777777" w:rsidR="00E41EEF" w:rsidRPr="00900A6E" w:rsidRDefault="00E41EEF" w:rsidP="00900A6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vMerge/>
            <w:vAlign w:val="center"/>
            <w:hideMark/>
          </w:tcPr>
          <w:p w14:paraId="42D26EC6" w14:textId="77777777" w:rsidR="00E41EEF" w:rsidRPr="00900A6E" w:rsidRDefault="00E41EEF" w:rsidP="00900A6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shd w:val="clear" w:color="000000" w:fill="D9D9D9"/>
            <w:vAlign w:val="center"/>
            <w:hideMark/>
          </w:tcPr>
          <w:p w14:paraId="1DF08536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2F3335F2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83" w:type="dxa"/>
            <w:vMerge w:val="restart"/>
            <w:shd w:val="clear" w:color="000000" w:fill="D9D9D9"/>
            <w:vAlign w:val="center"/>
            <w:hideMark/>
          </w:tcPr>
          <w:p w14:paraId="5AA949C6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2B8007FF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67" w:type="dxa"/>
            <w:vMerge w:val="restart"/>
            <w:shd w:val="clear" w:color="000000" w:fill="D9D9D9"/>
            <w:vAlign w:val="center"/>
            <w:hideMark/>
          </w:tcPr>
          <w:p w14:paraId="69BF9E05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771E2498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3" w:type="dxa"/>
            <w:vMerge w:val="restart"/>
            <w:shd w:val="clear" w:color="000000" w:fill="D9D9D9"/>
            <w:vAlign w:val="center"/>
            <w:hideMark/>
          </w:tcPr>
          <w:p w14:paraId="5A6EC1F2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E41EEF" w:rsidRPr="00900A6E" w14:paraId="1F6B0681" w14:textId="77777777" w:rsidTr="00E41EEF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0AEFCDB8" w14:textId="77777777" w:rsidR="00E41EEF" w:rsidRPr="00900A6E" w:rsidRDefault="00E41EEF" w:rsidP="00900A6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vMerge/>
            <w:vAlign w:val="center"/>
            <w:hideMark/>
          </w:tcPr>
          <w:p w14:paraId="2CB3C9A9" w14:textId="77777777" w:rsidR="00E41EEF" w:rsidRPr="00900A6E" w:rsidRDefault="00E41EEF" w:rsidP="00900A6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14:paraId="084C2C9E" w14:textId="77777777" w:rsidR="00E41EEF" w:rsidRPr="00900A6E" w:rsidRDefault="00E41EEF" w:rsidP="00900A6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6D58632A" w14:textId="77777777" w:rsidR="00E41EEF" w:rsidRPr="00900A6E" w:rsidRDefault="00E41EEF" w:rsidP="00900A6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72E1442E" w14:textId="77777777" w:rsidR="00E41EEF" w:rsidRPr="00900A6E" w:rsidRDefault="00E41EEF" w:rsidP="00900A6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470197B7" w14:textId="77777777" w:rsidR="00E41EEF" w:rsidRPr="00900A6E" w:rsidRDefault="00E41EEF" w:rsidP="00900A6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14:paraId="23261CD3" w14:textId="77777777" w:rsidR="00E41EEF" w:rsidRPr="00900A6E" w:rsidRDefault="00E41EEF" w:rsidP="00900A6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082CA039" w14:textId="77777777" w:rsidR="00E41EEF" w:rsidRPr="00900A6E" w:rsidRDefault="00E41EEF" w:rsidP="00900A6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330B6ED1" w14:textId="77777777" w:rsidR="00E41EEF" w:rsidRPr="00900A6E" w:rsidRDefault="00E41EEF" w:rsidP="00900A6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E41EEF" w:rsidRPr="00900A6E" w14:paraId="49A07586" w14:textId="77777777" w:rsidTr="00E41EEF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7E55788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645BDFFC" w14:textId="77777777" w:rsidR="00E41EEF" w:rsidRPr="00900A6E" w:rsidRDefault="00E41EEF" w:rsidP="00900A6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kern w:val="2"/>
                <w:sz w:val="18"/>
                <w:szCs w:val="18"/>
              </w:rPr>
              <w:t>APARELHO DE TELEFONE DIGITAL SEM FIO, FREQUÊNCIA 1,9 GHZ, COR PRETO, COM IDENTIFICADOR DE CHAMADAS, DISTÂNCIA FORA DA BASE DE ATÉ 50 METROS, MEMÓRIA/REGISTROS DOS 5 ÚLTIMOS NÚMEROS DISCADOS E 10 NUMEROS IDENTIFICADOS, DURAÇÃO DA BATERIA COM O TELEFONE FORA DA BASE DE ATÉ 100 HORAS. REDISCAGEM, BLOQUEIO DE TECLADO, QUANTIDADE DE RAMAIS EXPANSÍVEIS (5), FUNÇÃO DE CHAMADA EM ESPERA, TECLADO LUMINOSO, AJUSTE DE VOLUME DA CAMPAINHA, TIMER E LOCALIZADOR DO FONE. BIVOLT, TECNOLOGIA MULTI RAMAL DIGITAL, EXPANSÍVEL ATÉ 5 RAMAIS.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3ACAFBF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2DF0D21" w14:textId="1D0D1929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42075D31" w14:textId="61A9A5B0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10.720,00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F8EEF1B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1977A22C" w14:textId="53D83AF9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10.720,00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D9530C7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F7CFE02" w14:textId="2B532AB9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53.600,00</w:t>
            </w:r>
          </w:p>
        </w:tc>
      </w:tr>
      <w:tr w:rsidR="00E41EEF" w:rsidRPr="00900A6E" w14:paraId="0DD0F2AE" w14:textId="77777777" w:rsidTr="00E41EEF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BC966D4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14:paraId="687AA1FD" w14:textId="77777777" w:rsidR="00E41EEF" w:rsidRPr="00900A6E" w:rsidRDefault="00E41EEF" w:rsidP="00900A6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HD EXTERNO 2,5" CAPACIDADE: 1 TERABYTE - INTERFACE: USB 2.0 / 3.0 - VELOCIDADE: 5.400 RPM, NO MÍNIMO. BUFFER: 8 MB, NO MÍNIMO. AVERAGE SEEK TIME (TEMPO DE BUSCA): 10 MS OU MENOR. INCLUSO: CABO USB 3.0 E MANUAL - GARANTIA MÍNIMA DE 1 ANO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43A551FC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846F9AD" w14:textId="3DF1EA48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15E5467B" w14:textId="49998332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4.200,00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7CD8DFD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43CCEA51" w14:textId="508F4441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4.200,00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746033D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43F6FE85" w14:textId="0E0E9715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21.000,00</w:t>
            </w:r>
          </w:p>
        </w:tc>
      </w:tr>
      <w:tr w:rsidR="00E41EEF" w:rsidRPr="00900A6E" w14:paraId="3B01CC4D" w14:textId="77777777" w:rsidTr="00E41EEF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3FAA7D9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17" w:type="dxa"/>
            <w:shd w:val="clear" w:color="000000" w:fill="FFFFFF"/>
            <w:vAlign w:val="center"/>
            <w:hideMark/>
          </w:tcPr>
          <w:p w14:paraId="6205F0DE" w14:textId="77777777" w:rsidR="00E41EEF" w:rsidRPr="00900A6E" w:rsidRDefault="00E41EEF" w:rsidP="00900A6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HD EXTERNO 2,5” CAPACIDADES: 2 TERABYTE - INTERFACE: USB 2.0 / 3.0 - VELOCIDADE: 5.400 RPM, NO MÍNIMO. BUFFER: 8 MB, NO MÍNIMO. AVERAGE SEEK TIME (TEMPO DE BUSCA): 10 MS OU MENOR. INCLUSO: CABO USB 3.0 E MANUAL - GARANTIA MÍNIMA DE 1 ANO</w:t>
            </w:r>
          </w:p>
        </w:tc>
        <w:tc>
          <w:tcPr>
            <w:tcW w:w="875" w:type="dxa"/>
            <w:shd w:val="clear" w:color="000000" w:fill="FFFFFF"/>
            <w:vAlign w:val="center"/>
            <w:hideMark/>
          </w:tcPr>
          <w:p w14:paraId="18F667F7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FFF371D" w14:textId="4508FE2D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CF218D8" w14:textId="31665F7C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4.560,00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EAFF0FC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2EBCB735" w14:textId="5BFBDF75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4.560,00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8CD46EB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162676F9" w14:textId="0808B0A2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22.800,00</w:t>
            </w:r>
          </w:p>
        </w:tc>
      </w:tr>
      <w:tr w:rsidR="00E41EEF" w:rsidRPr="00900A6E" w14:paraId="6AD30CF6" w14:textId="77777777" w:rsidTr="00E41EEF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F07715A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6B945931" w14:textId="77777777" w:rsidR="00E41EEF" w:rsidRPr="00900A6E" w:rsidRDefault="00E41EEF" w:rsidP="00900A6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GABINETE ATX PRETO 2 BAIAS C/ 2 USB FRONTAL, AUDIO E CONEXÕES PARA PLACA MÃE - SEM FONTE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52EA24A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914C387" w14:textId="7BE25BA5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0C9DF94C" w14:textId="555D2404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2.480,00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37197A0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57D2A5BF" w14:textId="15FE202F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2.480,00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72D7B4F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6E06742" w14:textId="252FB04A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12.400,00</w:t>
            </w:r>
          </w:p>
        </w:tc>
      </w:tr>
      <w:tr w:rsidR="00E41EEF" w:rsidRPr="00900A6E" w14:paraId="23904D91" w14:textId="77777777" w:rsidTr="00E41EEF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DA52E2E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04E97B73" w14:textId="77777777" w:rsidR="00E41EEF" w:rsidRPr="00900A6E" w:rsidRDefault="00E41EEF" w:rsidP="00900A6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PLACA DE VÍDEO PCI EXPRESS 1 GB 64 BIT DDR3. INTERFACE PCI-E 2.0 - HDMI / VGA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C318B00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3AE3685" w14:textId="33979C06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218,00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D6E7D03" w14:textId="4CA81A29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2BE96C3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64AA72EE" w14:textId="76E88BD3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A080839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1307BE7" w14:textId="57E904E0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54.500,00</w:t>
            </w:r>
          </w:p>
        </w:tc>
      </w:tr>
      <w:tr w:rsidR="00E41EEF" w:rsidRPr="00900A6E" w14:paraId="60720BCC" w14:textId="77777777" w:rsidTr="00E41EEF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1FC845F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7F6F2266" w14:textId="77777777" w:rsidR="00E41EEF" w:rsidRPr="00900A6E" w:rsidRDefault="00E41EEF" w:rsidP="00900A6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Bateria de nobreak interna para alimentar equipamentos de controle de ponto </w:t>
            </w:r>
            <w:proofErr w:type="spellStart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eletronico</w:t>
            </w:r>
            <w:proofErr w:type="spellEnd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na falta de energia elétrica Voltagem 7.4V ou </w:t>
            </w:r>
            <w:proofErr w:type="spellStart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superiorAutonomia</w:t>
            </w:r>
            <w:proofErr w:type="spellEnd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minima</w:t>
            </w:r>
            <w:proofErr w:type="spellEnd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4 </w:t>
            </w:r>
            <w:proofErr w:type="spellStart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horasProtecao</w:t>
            </w:r>
            <w:proofErr w:type="spellEnd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contra sub </w:t>
            </w:r>
            <w:proofErr w:type="spellStart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tensao.Protecao</w:t>
            </w:r>
            <w:proofErr w:type="spellEnd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contra descarga total da </w:t>
            </w:r>
            <w:proofErr w:type="spellStart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bateria.Garantia</w:t>
            </w:r>
            <w:proofErr w:type="spellEnd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12 </w:t>
            </w:r>
            <w:proofErr w:type="spellStart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mesesCompativel</w:t>
            </w:r>
            <w:proofErr w:type="spellEnd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com equipamentos de controle de ponto modelo: Prisma marca: </w:t>
            </w:r>
            <w:proofErr w:type="spellStart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Henry.A</w:t>
            </w:r>
            <w:proofErr w:type="spellEnd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empresa </w:t>
            </w:r>
            <w:proofErr w:type="spellStart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devera</w:t>
            </w:r>
            <w:proofErr w:type="spellEnd"/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entregar o produto instalado no equipamento.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587A6DA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018E685" w14:textId="6C11CC3D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6503050" w14:textId="6D8E9C0B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20.600,00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D5A6F82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1174D793" w14:textId="4CA588FF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20.600,00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A7ED3EE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E952DC5" w14:textId="6A692924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103.000,00</w:t>
            </w:r>
          </w:p>
        </w:tc>
      </w:tr>
      <w:tr w:rsidR="00E41EEF" w:rsidRPr="00900A6E" w14:paraId="7BF2A445" w14:textId="77777777" w:rsidTr="00E41EEF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23B72AB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0DAAD0A2" w14:textId="77777777" w:rsidR="00E41EEF" w:rsidRPr="00900A6E" w:rsidRDefault="00E41EEF" w:rsidP="00900A6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KIT COMPLETO DE CARTUCHOS PARA IMPRESSORA HP DESKJET INK ADVANTAJE 5525 CONTENDO: CARTUCHO INK ADVANTAGE HP 670 XL BLACK, CARTUCHO INK ADVANTAGE HP 670 XL CIANO, CARTUCHO INK ADVANTAGE HP 670 XL MAGENTA, CARTUCHO INK ADVANTAGE HP 670 XL YELLOW - ORIGINAL HP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D128767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AE16F3A" w14:textId="6E19D1AF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274,50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5750B2B" w14:textId="3BD14DB3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27.450,00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63A3747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626783A5" w14:textId="491DAC0C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27.450,00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8323D83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A6EABFE" w14:textId="432CEF5A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137.250,00</w:t>
            </w:r>
          </w:p>
        </w:tc>
      </w:tr>
      <w:tr w:rsidR="00E41EEF" w:rsidRPr="00900A6E" w14:paraId="229D6525" w14:textId="77777777" w:rsidTr="00E41EEF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694E61A" w14:textId="77777777" w:rsidR="00E41EEF" w:rsidRPr="00900A6E" w:rsidRDefault="00E41EEF" w:rsidP="00900A6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394C47BE" w14:textId="77777777" w:rsidR="00E41EEF" w:rsidRPr="00900A6E" w:rsidRDefault="00E41EEF" w:rsidP="00900A6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TONER OKI B6500 -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E6904C3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DE88448" w14:textId="167C521A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C279706" w14:textId="06BF7476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26.900,00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5D984FD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14:paraId="14CFC683" w14:textId="26444B0F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26.900,00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1FF58F3" w14:textId="77777777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C040F16" w14:textId="17EEF014" w:rsidR="00E41EEF" w:rsidRPr="00900A6E" w:rsidRDefault="00E41EEF" w:rsidP="00E41EE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00A6E">
              <w:rPr>
                <w:rFonts w:ascii="Cambria" w:hAnsi="Cambria" w:cs="Calibri"/>
                <w:color w:val="000000"/>
                <w:sz w:val="18"/>
                <w:szCs w:val="18"/>
              </w:rPr>
              <w:t>134.500,00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I </w:t>
      </w:r>
      <w:r w:rsidRPr="00EB78E9">
        <w:rPr>
          <w:rFonts w:ascii="Cambria" w:hAnsi="Cambria"/>
        </w:rPr>
        <w:noBreakHyphen/>
        <w:t xml:space="preserve"> Os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lastRenderedPageBreak/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r w:rsidRPr="00EB78E9">
        <w:rPr>
          <w:rFonts w:ascii="Cambria" w:hAnsi="Cambria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76FE88FD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922F003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40672292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r w:rsidRPr="00EB78E9">
        <w:rPr>
          <w:rFonts w:ascii="Cambria" w:hAnsi="Cambria"/>
          <w:szCs w:val="24"/>
        </w:rPr>
        <w:noBreakHyphen/>
        <w:t xml:space="preserve"> Em cada fornecimento, o preço unitário a ser pago será o constante das propostas apresentadas,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 </w:t>
      </w:r>
      <w:r w:rsidRPr="00EB78E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t xml:space="preserve">em até 30 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onde: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r w:rsidRPr="00EB78E9">
        <w:rPr>
          <w:rFonts w:ascii="Cambria" w:hAnsi="Cambria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IV </w:t>
      </w:r>
      <w:r w:rsidRPr="00EB78E9">
        <w:rPr>
          <w:rFonts w:ascii="Cambria" w:hAnsi="Cambria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EB78E9">
        <w:rPr>
          <w:rFonts w:ascii="Cambria" w:hAnsi="Cambria"/>
          <w:szCs w:val="24"/>
        </w:rPr>
        <w:lastRenderedPageBreak/>
        <w:t>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r w:rsidRPr="00EB78E9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B78E9">
        <w:rPr>
          <w:rFonts w:ascii="Cambria" w:hAnsi="Cambria"/>
          <w:szCs w:val="24"/>
        </w:rPr>
        <w:t>á</w:t>
      </w:r>
      <w:proofErr w:type="spellEnd"/>
      <w:r w:rsidRPr="00EB78E9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39B14F8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50DCDE75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>
        <w:rPr>
          <w:rFonts w:ascii="Cambria" w:hAnsi="Cambria"/>
          <w:szCs w:val="24"/>
        </w:rPr>
        <w:t xml:space="preserve"> </w:t>
      </w:r>
      <w:r w:rsidRPr="00EB78E9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</w:t>
      </w:r>
      <w:r w:rsidRPr="00EB78E9">
        <w:rPr>
          <w:rFonts w:ascii="Cambria" w:hAnsi="Cambria"/>
          <w:b/>
          <w:szCs w:val="24"/>
        </w:rPr>
        <w:t xml:space="preserve"> </w:t>
      </w:r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As aquisições do objeto da presente Ata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5585A251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lastRenderedPageBreak/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4C696E">
        <w:rPr>
          <w:rFonts w:ascii="Cambria" w:hAnsi="Cambria" w:cs="Arial"/>
        </w:rPr>
        <w:t>043/2022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5F99112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A90397">
        <w:rPr>
          <w:rFonts w:ascii="Cambria" w:hAnsi="Cambria"/>
          <w:szCs w:val="24"/>
        </w:rPr>
        <w:t>20 de junho de 2022.</w:t>
      </w:r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6296AC1" w14:textId="77777777" w:rsidR="005E09F3" w:rsidRPr="005E09F3" w:rsidRDefault="005E09F3" w:rsidP="005E09F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5E09F3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5E09F3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3150810D" w:rsidR="00961925" w:rsidRPr="009736BA" w:rsidRDefault="005E09F3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proofErr w:type="spellStart"/>
      <w:r w:rsidRPr="009736BA">
        <w:rPr>
          <w:rFonts w:ascii="Cambria" w:hAnsi="Cambria" w:cs="Arial"/>
          <w:b/>
          <w:bCs/>
          <w:i/>
          <w:iCs/>
        </w:rPr>
        <w:t>Masterinfor</w:t>
      </w:r>
      <w:proofErr w:type="spellEnd"/>
      <w:r w:rsidRPr="009736BA">
        <w:rPr>
          <w:rFonts w:ascii="Cambria" w:hAnsi="Cambria" w:cs="Arial"/>
          <w:b/>
          <w:bCs/>
          <w:i/>
          <w:iCs/>
        </w:rPr>
        <w:t xml:space="preserve"> Comercial e Suprimentos de Informática </w:t>
      </w:r>
      <w:proofErr w:type="spellStart"/>
      <w:r w:rsidRPr="009736BA">
        <w:rPr>
          <w:rFonts w:ascii="Cambria" w:hAnsi="Cambria" w:cs="Arial"/>
          <w:b/>
          <w:bCs/>
          <w:i/>
          <w:iCs/>
        </w:rPr>
        <w:t>Eireli</w:t>
      </w:r>
      <w:proofErr w:type="spellEnd"/>
    </w:p>
    <w:p w14:paraId="0745961C" w14:textId="382276F0" w:rsidR="005E09F3" w:rsidRPr="00EB78E9" w:rsidRDefault="005E09F3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9736BA">
        <w:rPr>
          <w:rFonts w:ascii="Cambria" w:hAnsi="Cambria" w:cs="Arial"/>
        </w:rPr>
        <w:t>19.454.333/0001-19</w:t>
      </w:r>
    </w:p>
    <w:sectPr w:rsidR="005E09F3" w:rsidRPr="00EB78E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C5344"/>
    <w:rsid w:val="000D2FA6"/>
    <w:rsid w:val="000E3631"/>
    <w:rsid w:val="000E427B"/>
    <w:rsid w:val="000E479B"/>
    <w:rsid w:val="000E7CF4"/>
    <w:rsid w:val="0010144B"/>
    <w:rsid w:val="00114EF1"/>
    <w:rsid w:val="00133237"/>
    <w:rsid w:val="00161AE1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B76CC"/>
    <w:rsid w:val="001C70DE"/>
    <w:rsid w:val="001D46C5"/>
    <w:rsid w:val="001E1C31"/>
    <w:rsid w:val="001E4580"/>
    <w:rsid w:val="001E7926"/>
    <w:rsid w:val="00200713"/>
    <w:rsid w:val="002011C0"/>
    <w:rsid w:val="002075FE"/>
    <w:rsid w:val="00210FD8"/>
    <w:rsid w:val="00226FA9"/>
    <w:rsid w:val="00236D67"/>
    <w:rsid w:val="00237EAA"/>
    <w:rsid w:val="002476CF"/>
    <w:rsid w:val="00247BEF"/>
    <w:rsid w:val="0027092D"/>
    <w:rsid w:val="00273022"/>
    <w:rsid w:val="002757E8"/>
    <w:rsid w:val="002770C2"/>
    <w:rsid w:val="0028489E"/>
    <w:rsid w:val="002A01B8"/>
    <w:rsid w:val="002B522C"/>
    <w:rsid w:val="002B7728"/>
    <w:rsid w:val="002C349F"/>
    <w:rsid w:val="002C36F6"/>
    <w:rsid w:val="002C5D24"/>
    <w:rsid w:val="002D3DAC"/>
    <w:rsid w:val="002E4F4B"/>
    <w:rsid w:val="002F023C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3FEC"/>
    <w:rsid w:val="003F3FD2"/>
    <w:rsid w:val="003F46E8"/>
    <w:rsid w:val="003F55D1"/>
    <w:rsid w:val="004114C2"/>
    <w:rsid w:val="00417522"/>
    <w:rsid w:val="004236FC"/>
    <w:rsid w:val="00424897"/>
    <w:rsid w:val="00436084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C696E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301E1"/>
    <w:rsid w:val="00542B7A"/>
    <w:rsid w:val="00573148"/>
    <w:rsid w:val="005937A6"/>
    <w:rsid w:val="005A0CC7"/>
    <w:rsid w:val="005A3440"/>
    <w:rsid w:val="005C2565"/>
    <w:rsid w:val="005E09F3"/>
    <w:rsid w:val="005E4232"/>
    <w:rsid w:val="005F1399"/>
    <w:rsid w:val="005F7E83"/>
    <w:rsid w:val="00612C56"/>
    <w:rsid w:val="00612E9B"/>
    <w:rsid w:val="0061458F"/>
    <w:rsid w:val="00614622"/>
    <w:rsid w:val="00647358"/>
    <w:rsid w:val="00647910"/>
    <w:rsid w:val="006520E6"/>
    <w:rsid w:val="00656F20"/>
    <w:rsid w:val="0066409A"/>
    <w:rsid w:val="006709C5"/>
    <w:rsid w:val="00676EF3"/>
    <w:rsid w:val="00680EA6"/>
    <w:rsid w:val="00691AB5"/>
    <w:rsid w:val="00694DC5"/>
    <w:rsid w:val="006A06B2"/>
    <w:rsid w:val="006C3979"/>
    <w:rsid w:val="006C458A"/>
    <w:rsid w:val="006C6D16"/>
    <w:rsid w:val="006D7103"/>
    <w:rsid w:val="006D74E5"/>
    <w:rsid w:val="006E6F38"/>
    <w:rsid w:val="006E7153"/>
    <w:rsid w:val="006F2190"/>
    <w:rsid w:val="006F2F8D"/>
    <w:rsid w:val="006F458E"/>
    <w:rsid w:val="006F7B8E"/>
    <w:rsid w:val="006F7D62"/>
    <w:rsid w:val="007113D4"/>
    <w:rsid w:val="007301AD"/>
    <w:rsid w:val="007460B9"/>
    <w:rsid w:val="0075147A"/>
    <w:rsid w:val="00752E08"/>
    <w:rsid w:val="00755E81"/>
    <w:rsid w:val="007566EC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B19"/>
    <w:rsid w:val="007B3098"/>
    <w:rsid w:val="007B5DF6"/>
    <w:rsid w:val="007C2B14"/>
    <w:rsid w:val="007D123F"/>
    <w:rsid w:val="007D35B8"/>
    <w:rsid w:val="007D579F"/>
    <w:rsid w:val="007E65F8"/>
    <w:rsid w:val="007E7333"/>
    <w:rsid w:val="007F6918"/>
    <w:rsid w:val="008014E1"/>
    <w:rsid w:val="008020A0"/>
    <w:rsid w:val="00804E05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6372"/>
    <w:rsid w:val="008A338A"/>
    <w:rsid w:val="008A4BCA"/>
    <w:rsid w:val="008B23CA"/>
    <w:rsid w:val="008B358F"/>
    <w:rsid w:val="008C7DE4"/>
    <w:rsid w:val="008D2D20"/>
    <w:rsid w:val="008D6E6C"/>
    <w:rsid w:val="008E1FF8"/>
    <w:rsid w:val="008E3AFA"/>
    <w:rsid w:val="008E594C"/>
    <w:rsid w:val="00900A6E"/>
    <w:rsid w:val="009345DA"/>
    <w:rsid w:val="00934867"/>
    <w:rsid w:val="00940302"/>
    <w:rsid w:val="00943151"/>
    <w:rsid w:val="009513FC"/>
    <w:rsid w:val="00951A08"/>
    <w:rsid w:val="009615FB"/>
    <w:rsid w:val="00961925"/>
    <w:rsid w:val="009736BA"/>
    <w:rsid w:val="00980456"/>
    <w:rsid w:val="00981FB8"/>
    <w:rsid w:val="009A4A47"/>
    <w:rsid w:val="009A6E56"/>
    <w:rsid w:val="009B1C3D"/>
    <w:rsid w:val="009C09EF"/>
    <w:rsid w:val="009C527E"/>
    <w:rsid w:val="009D0A08"/>
    <w:rsid w:val="009D484C"/>
    <w:rsid w:val="00A0436C"/>
    <w:rsid w:val="00A0586B"/>
    <w:rsid w:val="00A06D64"/>
    <w:rsid w:val="00A15133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30C6"/>
    <w:rsid w:val="00A644AA"/>
    <w:rsid w:val="00A64F5E"/>
    <w:rsid w:val="00A71E72"/>
    <w:rsid w:val="00A82C66"/>
    <w:rsid w:val="00A90397"/>
    <w:rsid w:val="00A961CA"/>
    <w:rsid w:val="00A97C05"/>
    <w:rsid w:val="00AA16E7"/>
    <w:rsid w:val="00AA5F0B"/>
    <w:rsid w:val="00AC0E53"/>
    <w:rsid w:val="00AC65DE"/>
    <w:rsid w:val="00AC7096"/>
    <w:rsid w:val="00AD0F4F"/>
    <w:rsid w:val="00AD2662"/>
    <w:rsid w:val="00AF067F"/>
    <w:rsid w:val="00AF2237"/>
    <w:rsid w:val="00B00BE4"/>
    <w:rsid w:val="00B02C73"/>
    <w:rsid w:val="00B27EB9"/>
    <w:rsid w:val="00B328B9"/>
    <w:rsid w:val="00B32E89"/>
    <w:rsid w:val="00B92C88"/>
    <w:rsid w:val="00B940AC"/>
    <w:rsid w:val="00BA129C"/>
    <w:rsid w:val="00BA3FC8"/>
    <w:rsid w:val="00BA623F"/>
    <w:rsid w:val="00BC453C"/>
    <w:rsid w:val="00BD06EE"/>
    <w:rsid w:val="00C046C5"/>
    <w:rsid w:val="00C10878"/>
    <w:rsid w:val="00C275E2"/>
    <w:rsid w:val="00C31066"/>
    <w:rsid w:val="00C33665"/>
    <w:rsid w:val="00C3759E"/>
    <w:rsid w:val="00C37DC7"/>
    <w:rsid w:val="00C513D4"/>
    <w:rsid w:val="00C63014"/>
    <w:rsid w:val="00C73E94"/>
    <w:rsid w:val="00C741A4"/>
    <w:rsid w:val="00C7580C"/>
    <w:rsid w:val="00C764F9"/>
    <w:rsid w:val="00C80443"/>
    <w:rsid w:val="00CA18BE"/>
    <w:rsid w:val="00CD19D5"/>
    <w:rsid w:val="00CE7F25"/>
    <w:rsid w:val="00CF5B1A"/>
    <w:rsid w:val="00D01E09"/>
    <w:rsid w:val="00D17C0D"/>
    <w:rsid w:val="00D233F1"/>
    <w:rsid w:val="00D31BF6"/>
    <w:rsid w:val="00D358F0"/>
    <w:rsid w:val="00D505CA"/>
    <w:rsid w:val="00D5154D"/>
    <w:rsid w:val="00D55E83"/>
    <w:rsid w:val="00D83426"/>
    <w:rsid w:val="00D85C00"/>
    <w:rsid w:val="00DC18A7"/>
    <w:rsid w:val="00DE2653"/>
    <w:rsid w:val="00DE3EED"/>
    <w:rsid w:val="00DE67DD"/>
    <w:rsid w:val="00DF1244"/>
    <w:rsid w:val="00DF46D5"/>
    <w:rsid w:val="00E14E84"/>
    <w:rsid w:val="00E41EEF"/>
    <w:rsid w:val="00E548A9"/>
    <w:rsid w:val="00E62D52"/>
    <w:rsid w:val="00E83D4F"/>
    <w:rsid w:val="00EB2761"/>
    <w:rsid w:val="00EB3B2C"/>
    <w:rsid w:val="00EB78E9"/>
    <w:rsid w:val="00EC47D8"/>
    <w:rsid w:val="00EC4F0A"/>
    <w:rsid w:val="00EE09C2"/>
    <w:rsid w:val="00EE128B"/>
    <w:rsid w:val="00EE2DB2"/>
    <w:rsid w:val="00F04523"/>
    <w:rsid w:val="00F07077"/>
    <w:rsid w:val="00F1182B"/>
    <w:rsid w:val="00F156F1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96A5D"/>
    <w:rsid w:val="00FB3378"/>
    <w:rsid w:val="00FB4EAF"/>
    <w:rsid w:val="00FB7541"/>
    <w:rsid w:val="00FC20C9"/>
    <w:rsid w:val="00FC22C6"/>
    <w:rsid w:val="00FC31BA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2258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20</cp:revision>
  <cp:lastPrinted>2022-06-20T11:45:00Z</cp:lastPrinted>
  <dcterms:created xsi:type="dcterms:W3CDTF">2022-06-20T18:15:00Z</dcterms:created>
  <dcterms:modified xsi:type="dcterms:W3CDTF">2022-06-20T18:35:00Z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