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PROCESSO LICITATÓRIO Nº </w:t>
      </w:r>
      <w:r w:rsidR="00533ED4" w:rsidRPr="008D233F">
        <w:rPr>
          <w:rFonts w:ascii="Verdana" w:hAnsi="Verdana"/>
          <w:b/>
          <w:sz w:val="21"/>
          <w:szCs w:val="21"/>
        </w:rPr>
        <w:t>041/2019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PREGÃO PRESENCIAL Nº </w:t>
      </w:r>
      <w:r w:rsidR="00533ED4" w:rsidRPr="008D233F">
        <w:rPr>
          <w:rFonts w:ascii="Verdana" w:hAnsi="Verdana"/>
          <w:b/>
          <w:sz w:val="21"/>
          <w:szCs w:val="21"/>
        </w:rPr>
        <w:t>024/2019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ATA DE REGISTRO DE PREÇOS Nº </w:t>
      </w:r>
      <w:r w:rsidR="009921C1" w:rsidRPr="008D233F">
        <w:rPr>
          <w:rFonts w:ascii="Verdana" w:hAnsi="Verdana"/>
          <w:sz w:val="21"/>
          <w:szCs w:val="21"/>
        </w:rPr>
        <w:t>019/2019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PROCESSO Nº </w:t>
      </w:r>
      <w:r w:rsidR="00533ED4" w:rsidRPr="008D233F">
        <w:rPr>
          <w:rFonts w:ascii="Verdana" w:hAnsi="Verdana"/>
          <w:sz w:val="21"/>
          <w:szCs w:val="21"/>
        </w:rPr>
        <w:t>041/2019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VALIDADE: 12 meses.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Aos </w:t>
      </w:r>
      <w:r w:rsidR="00575ADE" w:rsidRPr="008D233F">
        <w:rPr>
          <w:rFonts w:ascii="Verdana" w:hAnsi="Verdana" w:cs="Arial"/>
          <w:sz w:val="21"/>
          <w:szCs w:val="21"/>
        </w:rPr>
        <w:t>28 (vinte e oito)</w:t>
      </w:r>
      <w:r w:rsidRPr="008D233F">
        <w:rPr>
          <w:rFonts w:ascii="Verdana" w:hAnsi="Verdana" w:cs="Arial"/>
          <w:sz w:val="21"/>
          <w:szCs w:val="21"/>
        </w:rPr>
        <w:t xml:space="preserve"> dias do mês de </w:t>
      </w:r>
      <w:r w:rsidR="00575ADE" w:rsidRPr="008D233F">
        <w:rPr>
          <w:rFonts w:ascii="Verdana" w:hAnsi="Verdana" w:cs="Arial"/>
          <w:sz w:val="21"/>
          <w:szCs w:val="21"/>
        </w:rPr>
        <w:t xml:space="preserve">maio </w:t>
      </w:r>
      <w:r w:rsidRPr="008D233F">
        <w:rPr>
          <w:rFonts w:ascii="Verdana" w:hAnsi="Verdana" w:cs="Arial"/>
          <w:sz w:val="21"/>
          <w:szCs w:val="21"/>
        </w:rPr>
        <w:t xml:space="preserve">de </w:t>
      </w:r>
      <w:r w:rsidR="009921C1" w:rsidRPr="008D233F">
        <w:rPr>
          <w:rFonts w:ascii="Verdana" w:hAnsi="Verdana" w:cs="Arial"/>
          <w:sz w:val="21"/>
          <w:szCs w:val="21"/>
        </w:rPr>
        <w:t>2019</w:t>
      </w:r>
      <w:r w:rsidRPr="008D233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75ADE" w:rsidRPr="008D233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D233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575ADE"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575ADE" w:rsidRPr="008D233F">
        <w:rPr>
          <w:rFonts w:ascii="Verdana" w:hAnsi="Verdana" w:cs="Arial"/>
          <w:sz w:val="21"/>
          <w:szCs w:val="21"/>
        </w:rPr>
        <w:t>Filgueiras</w:t>
      </w:r>
      <w:proofErr w:type="spellEnd"/>
      <w:r w:rsidRPr="008D233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por deliberação do pregoeiro oficial e equipe de apoio, e </w:t>
      </w:r>
      <w:r w:rsidRPr="006C51E6">
        <w:rPr>
          <w:rFonts w:ascii="Verdana" w:hAnsi="Verdana" w:cs="Arial"/>
          <w:sz w:val="21"/>
          <w:szCs w:val="21"/>
        </w:rPr>
        <w:t xml:space="preserve">por ele homologada conforme processo nº </w:t>
      </w:r>
      <w:r w:rsidR="00533ED4" w:rsidRPr="006C51E6">
        <w:rPr>
          <w:rFonts w:ascii="Verdana" w:hAnsi="Verdana" w:cs="Arial"/>
          <w:sz w:val="21"/>
          <w:szCs w:val="21"/>
        </w:rPr>
        <w:t>041/2019</w:t>
      </w:r>
      <w:r w:rsidRPr="006C51E6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E92E71">
        <w:rPr>
          <w:rFonts w:ascii="Verdana" w:hAnsi="Verdana" w:cs="Arial"/>
          <w:b/>
          <w:sz w:val="21"/>
          <w:szCs w:val="21"/>
        </w:rPr>
        <w:t>BIOHOSP PRODUTOS HOSPITALARES S/A</w:t>
      </w:r>
      <w:r w:rsidRPr="006C51E6">
        <w:rPr>
          <w:rFonts w:ascii="Verdana" w:hAnsi="Verdana" w:cs="Arial"/>
          <w:sz w:val="21"/>
          <w:szCs w:val="21"/>
        </w:rPr>
        <w:t xml:space="preserve">, localizado na </w:t>
      </w:r>
      <w:r w:rsidR="001B5682">
        <w:rPr>
          <w:rFonts w:ascii="Verdana" w:hAnsi="Verdana" w:cs="Arial"/>
          <w:sz w:val="21"/>
          <w:szCs w:val="21"/>
        </w:rPr>
        <w:t>Av. Sócrates Mariani Bittencourt, nº. 1.080, bairro Cinco, Contagem/MG, CEP 32.010-010</w:t>
      </w:r>
      <w:r w:rsidR="00EB4170" w:rsidRPr="006C51E6">
        <w:rPr>
          <w:rFonts w:ascii="Verdana" w:hAnsi="Verdana" w:cs="Arial"/>
          <w:sz w:val="21"/>
          <w:szCs w:val="21"/>
        </w:rPr>
        <w:t>,</w:t>
      </w:r>
      <w:r w:rsidRPr="006C51E6">
        <w:rPr>
          <w:rFonts w:ascii="Verdana" w:hAnsi="Verdana" w:cs="Arial"/>
          <w:sz w:val="21"/>
          <w:szCs w:val="21"/>
        </w:rPr>
        <w:t xml:space="preserve"> cujo CNPJ é </w:t>
      </w:r>
      <w:r w:rsidR="007B0BBC">
        <w:rPr>
          <w:rFonts w:ascii="Verdana" w:hAnsi="Verdana" w:cs="Arial"/>
          <w:sz w:val="21"/>
          <w:szCs w:val="21"/>
        </w:rPr>
        <w:t>18.269.125/0001-87</w:t>
      </w:r>
      <w:r w:rsidRPr="006C51E6">
        <w:rPr>
          <w:rFonts w:ascii="Verdana" w:hAnsi="Verdana" w:cs="Arial"/>
          <w:sz w:val="21"/>
          <w:szCs w:val="21"/>
        </w:rPr>
        <w:t xml:space="preserve">, neste ato representado por </w:t>
      </w:r>
      <w:r w:rsidR="00A85EB1">
        <w:rPr>
          <w:rFonts w:ascii="Verdana" w:hAnsi="Verdana" w:cs="Arial"/>
          <w:sz w:val="21"/>
          <w:szCs w:val="21"/>
        </w:rPr>
        <w:t>Geraldo Magela de Oliveira</w:t>
      </w:r>
      <w:r w:rsidR="006C51E6" w:rsidRPr="006C51E6">
        <w:rPr>
          <w:rFonts w:ascii="Verdana" w:hAnsi="Verdana" w:cs="Arial"/>
          <w:sz w:val="21"/>
          <w:szCs w:val="21"/>
        </w:rPr>
        <w:t xml:space="preserve">, inscrito no CPF/MF sob o nº. </w:t>
      </w:r>
      <w:r w:rsidR="00A85EB1">
        <w:rPr>
          <w:rFonts w:ascii="Verdana" w:hAnsi="Verdana" w:cs="Arial"/>
          <w:sz w:val="21"/>
          <w:szCs w:val="21"/>
        </w:rPr>
        <w:t>012.194.136-15</w:t>
      </w:r>
      <w:r w:rsidRPr="006C51E6">
        <w:rPr>
          <w:rFonts w:ascii="Verdana" w:hAnsi="Verdana" w:cs="Arial"/>
          <w:sz w:val="21"/>
          <w:szCs w:val="21"/>
        </w:rPr>
        <w:t>, conforme quadro abaixo:</w:t>
      </w:r>
    </w:p>
    <w:p w:rsidR="00C7594C" w:rsidRPr="006C51E6" w:rsidRDefault="00C7594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245"/>
        <w:gridCol w:w="992"/>
        <w:gridCol w:w="940"/>
        <w:gridCol w:w="1320"/>
        <w:gridCol w:w="1001"/>
        <w:gridCol w:w="1100"/>
        <w:gridCol w:w="1027"/>
        <w:gridCol w:w="1180"/>
      </w:tblGrid>
      <w:tr w:rsidR="00C7594C" w:rsidRPr="00C7594C" w:rsidTr="00690CE2">
        <w:trPr>
          <w:trHeight w:val="21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560" w:type="dxa"/>
            <w:gridSpan w:val="7"/>
            <w:shd w:val="clear" w:color="auto" w:fill="auto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690CE2" w:rsidRPr="00C7594C" w:rsidTr="00690CE2">
        <w:trPr>
          <w:trHeight w:val="210"/>
        </w:trPr>
        <w:tc>
          <w:tcPr>
            <w:tcW w:w="598" w:type="dxa"/>
            <w:vMerge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gridSpan w:val="3"/>
            <w:shd w:val="clear" w:color="000000" w:fill="BFBFB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101" w:type="dxa"/>
            <w:gridSpan w:val="2"/>
            <w:shd w:val="clear" w:color="000000" w:fill="BFBFB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207" w:type="dxa"/>
            <w:gridSpan w:val="2"/>
            <w:shd w:val="clear" w:color="000000" w:fill="BFBFB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690CE2" w:rsidRPr="00C7594C" w:rsidTr="00690CE2">
        <w:trPr>
          <w:trHeight w:val="210"/>
        </w:trPr>
        <w:tc>
          <w:tcPr>
            <w:tcW w:w="598" w:type="dxa"/>
            <w:vMerge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Qtde</w:t>
            </w:r>
            <w:proofErr w:type="spellEnd"/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320" w:type="dxa"/>
            <w:vMerge w:val="restart"/>
            <w:shd w:val="clear" w:color="000000" w:fill="D9D9D9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001" w:type="dxa"/>
            <w:vMerge w:val="restart"/>
            <w:shd w:val="clear" w:color="000000" w:fill="D9D9D9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Qtde</w:t>
            </w:r>
            <w:proofErr w:type="spellEnd"/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027" w:type="dxa"/>
            <w:vMerge w:val="restart"/>
            <w:shd w:val="clear" w:color="000000" w:fill="D9D9D9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Qtde</w:t>
            </w:r>
            <w:proofErr w:type="spellEnd"/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</w:tr>
      <w:tr w:rsidR="00C7594C" w:rsidRPr="00C7594C" w:rsidTr="00690CE2">
        <w:trPr>
          <w:trHeight w:val="210"/>
        </w:trPr>
        <w:tc>
          <w:tcPr>
            <w:tcW w:w="598" w:type="dxa"/>
            <w:vMerge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690CE2" w:rsidRPr="00C7594C" w:rsidTr="00690CE2">
        <w:trPr>
          <w:trHeight w:val="4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metoprolol</w:t>
            </w:r>
            <w:proofErr w:type="spellEnd"/>
            <w:proofErr w:type="gramEnd"/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5 mg/5 ml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3.300,000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16.500,00</w:t>
            </w:r>
          </w:p>
        </w:tc>
      </w:tr>
      <w:tr w:rsidR="00690CE2" w:rsidRPr="00C7594C" w:rsidTr="00690CE2">
        <w:trPr>
          <w:trHeight w:val="105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BROMETO DE TIOTRÓPIO - SOLUÇÃO PARA INALAÇÃO EM SPRAY (RESPIMAT)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270,930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54.186,000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54.186,00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270.930,00</w:t>
            </w:r>
          </w:p>
        </w:tc>
      </w:tr>
      <w:tr w:rsidR="00690CE2" w:rsidRPr="00C7594C" w:rsidTr="00690CE2">
        <w:trPr>
          <w:trHeight w:val="8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CARBAMAZEPINA 2% SUSPENSÃO ORAL - FRASCO COM 100 ML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3.300,000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16.500,00</w:t>
            </w:r>
          </w:p>
        </w:tc>
      </w:tr>
      <w:tr w:rsidR="00690CE2" w:rsidRPr="00C7594C" w:rsidTr="00690CE2">
        <w:trPr>
          <w:trHeight w:val="6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CLORIDARTO DE METILFENIDATO LA 20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6,770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47.390,000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47.390,00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236.950,00</w:t>
            </w:r>
          </w:p>
        </w:tc>
      </w:tr>
      <w:tr w:rsidR="00690CE2" w:rsidRPr="00C7594C" w:rsidTr="00690CE2">
        <w:trPr>
          <w:trHeight w:val="6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CLORIDRATO DE BUPROPIONA 150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12.440,000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12.440,00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62.200,00</w:t>
            </w:r>
          </w:p>
        </w:tc>
      </w:tr>
      <w:tr w:rsidR="00690CE2" w:rsidRPr="00C7594C" w:rsidTr="00690CE2">
        <w:trPr>
          <w:trHeight w:val="8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CLORIDRATO DE CLOMIPRAMINA </w:t>
            </w: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 xml:space="preserve">COMPRIMIDO 25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15.000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9.135,000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9.135,00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45.675,00</w:t>
            </w:r>
          </w:p>
        </w:tc>
      </w:tr>
      <w:tr w:rsidR="00690CE2" w:rsidRPr="00C7594C" w:rsidTr="00690CE2">
        <w:trPr>
          <w:trHeight w:val="6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CLORIDRATO DE METILFENIDATO 20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6,770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33.850,000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33.850,00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169.250,00</w:t>
            </w:r>
          </w:p>
        </w:tc>
      </w:tr>
      <w:tr w:rsidR="00690CE2" w:rsidRPr="00C7594C" w:rsidTr="00690CE2">
        <w:trPr>
          <w:trHeight w:val="105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DIPROPIONATO DE BECLOMETASONA AEROSOL ORAL 250 MCG - 200 DOSES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47,860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23.930,000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23.930,00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119.650,00</w:t>
            </w:r>
          </w:p>
        </w:tc>
      </w:tr>
      <w:tr w:rsidR="00690CE2" w:rsidRPr="00C7594C" w:rsidTr="00690CE2">
        <w:trPr>
          <w:trHeight w:val="8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DIPROPIONATO DE BECLOMETASONA AEROSOL ORAL 50 MCG - 200 DOSES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29,650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14.825,000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14.825,00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74.125,00</w:t>
            </w:r>
          </w:p>
        </w:tc>
      </w:tr>
      <w:tr w:rsidR="00690CE2" w:rsidRPr="00C7594C" w:rsidTr="00690CE2">
        <w:trPr>
          <w:trHeight w:val="6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ESPIRONOLACTONA COMPRIMIDO 25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0,140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4.200,000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21.000,00</w:t>
            </w:r>
          </w:p>
        </w:tc>
      </w:tr>
      <w:tr w:rsidR="00690CE2" w:rsidRPr="00C7594C" w:rsidTr="00690CE2">
        <w:trPr>
          <w:trHeight w:val="4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HIDRALAZINA 25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0,240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7.200,000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36.000,00</w:t>
            </w:r>
          </w:p>
        </w:tc>
      </w:tr>
      <w:tr w:rsidR="00690CE2" w:rsidRPr="00C7594C" w:rsidTr="00690CE2">
        <w:trPr>
          <w:trHeight w:val="6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INSULINA HUMALOG FRASCO DE 10 ML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90,640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45.320,000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45.320,00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226.600,00</w:t>
            </w:r>
          </w:p>
        </w:tc>
      </w:tr>
      <w:tr w:rsidR="00690CE2" w:rsidRPr="00C7594C" w:rsidTr="00690CE2">
        <w:trPr>
          <w:trHeight w:val="4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METROPOLOL 100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0,950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4.750,000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4.750,00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23.750,00</w:t>
            </w:r>
          </w:p>
        </w:tc>
      </w:tr>
      <w:tr w:rsidR="00690CE2" w:rsidRPr="00C7594C" w:rsidTr="00690CE2">
        <w:trPr>
          <w:trHeight w:val="4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RISPERIDONA 1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0,115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1.150,000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1.150,00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5.750,00</w:t>
            </w:r>
          </w:p>
        </w:tc>
      </w:tr>
      <w:tr w:rsidR="00690CE2" w:rsidRPr="00C7594C" w:rsidTr="00690CE2">
        <w:trPr>
          <w:trHeight w:val="4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RISPERIDONA 2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0,130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650,000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3.250,00</w:t>
            </w:r>
          </w:p>
        </w:tc>
      </w:tr>
      <w:tr w:rsidR="00690CE2" w:rsidRPr="00C7594C" w:rsidTr="00690CE2">
        <w:trPr>
          <w:trHeight w:val="8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SALMETEROL + FLUTICASONA DISKUS 50/250 ΜCG - 60 DOSES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101,420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20.284,000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20.284,00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101.420,00</w:t>
            </w:r>
          </w:p>
        </w:tc>
      </w:tr>
      <w:tr w:rsidR="00690CE2" w:rsidRPr="00C7594C" w:rsidTr="00690CE2">
        <w:trPr>
          <w:trHeight w:val="8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SALMETEROL + FLUTICASONA DISKUS 50/500 ΜCG - 60 DOSES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164,790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32.958,000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32.958,00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164.790,00</w:t>
            </w:r>
          </w:p>
        </w:tc>
      </w:tr>
      <w:tr w:rsidR="00690CE2" w:rsidRPr="00C7594C" w:rsidTr="00690CE2">
        <w:trPr>
          <w:trHeight w:val="8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 xml:space="preserve">SALMETEROL + FLUTICASONA SPRAY 25/125 ΜCG - 120 DOSES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101,420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20.284,000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20.284,00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101.420,00</w:t>
            </w:r>
          </w:p>
        </w:tc>
      </w:tr>
      <w:tr w:rsidR="00690CE2" w:rsidRPr="00C7594C" w:rsidTr="00690CE2">
        <w:trPr>
          <w:trHeight w:val="8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SALMETEROL + FLUTICASONA SPRAY 25/250 ΜCG - 120 DOSES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164,790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32.958,000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32.958,00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164.790,00</w:t>
            </w:r>
          </w:p>
        </w:tc>
      </w:tr>
      <w:tr w:rsidR="00690CE2" w:rsidRPr="00C7594C" w:rsidTr="00690CE2">
        <w:trPr>
          <w:trHeight w:val="4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281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TOPIRAMATO 100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0,305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6.100,000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30.500,00</w:t>
            </w:r>
          </w:p>
        </w:tc>
      </w:tr>
      <w:tr w:rsidR="00690CE2" w:rsidRPr="00C7594C" w:rsidTr="00690CE2">
        <w:trPr>
          <w:trHeight w:val="21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VARFARINA 5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594C" w:rsidRPr="00C7594C" w:rsidRDefault="00C7594C" w:rsidP="00C7594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0,115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2.300,000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7594C" w:rsidRPr="00C7594C" w:rsidRDefault="00C7594C" w:rsidP="00690CE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C7594C">
              <w:rPr>
                <w:rFonts w:ascii="Verdana" w:hAnsi="Verdana" w:cs="Times New Roman"/>
                <w:color w:val="000000"/>
                <w:sz w:val="16"/>
                <w:szCs w:val="16"/>
              </w:rPr>
              <w:t>11.500,00</w:t>
            </w:r>
          </w:p>
        </w:tc>
      </w:tr>
    </w:tbl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72ACD" w:rsidRPr="008D233F">
        <w:rPr>
          <w:rFonts w:ascii="Verdana" w:hAnsi="Verdana"/>
          <w:sz w:val="21"/>
          <w:szCs w:val="21"/>
        </w:rPr>
        <w:t>do quadro acima</w:t>
      </w:r>
      <w:r w:rsidRPr="008D233F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8D233F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03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04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o presente instrumento de compromisso.</w:t>
      </w:r>
    </w:p>
    <w:p w:rsidR="006E6714" w:rsidRPr="008D233F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6E6714" w:rsidRPr="008D233F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05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06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D233F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8D233F">
        <w:rPr>
          <w:rFonts w:ascii="Verdana" w:hAnsi="Verdana"/>
          <w:sz w:val="21"/>
          <w:szCs w:val="21"/>
        </w:rPr>
        <w:t>definitivo pela unidade requisitante</w:t>
      </w:r>
      <w:r w:rsidRPr="008D233F">
        <w:rPr>
          <w:rFonts w:ascii="Verdana" w:hAnsi="Verdana"/>
          <w:bCs/>
          <w:sz w:val="21"/>
          <w:szCs w:val="21"/>
        </w:rPr>
        <w:t xml:space="preserve"> do objeto, </w:t>
      </w:r>
      <w:r w:rsidRPr="008D233F">
        <w:rPr>
          <w:rFonts w:ascii="Verdana" w:hAnsi="Verdana"/>
          <w:sz w:val="21"/>
          <w:szCs w:val="21"/>
        </w:rPr>
        <w:t>mediante apresentação da Nota Fiscal.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I= (TX/100)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07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8D233F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8D233F">
        <w:rPr>
          <w:rFonts w:ascii="Verdana" w:hAnsi="Verdana"/>
          <w:sz w:val="21"/>
          <w:szCs w:val="21"/>
        </w:rPr>
        <w:t xml:space="preserve"> úteis</w:t>
      </w:r>
      <w:r w:rsidRPr="008D233F">
        <w:rPr>
          <w:rFonts w:ascii="Verdana" w:hAnsi="Verdana"/>
          <w:sz w:val="21"/>
          <w:szCs w:val="21"/>
        </w:rPr>
        <w:t>, independentemente da aplicação das penalidades cabíveis.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IV </w:t>
      </w:r>
      <w:r w:rsidRPr="008D233F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 </w:t>
      </w:r>
      <w:r w:rsidRPr="008D233F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</w:t>
      </w:r>
      <w:r w:rsidRPr="008D233F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 </w:t>
      </w:r>
      <w:r w:rsidRPr="008D233F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1" w:name="__DdeLink__10159_1208364177"/>
      <w:bookmarkEnd w:id="1"/>
      <w:r w:rsidRPr="008D233F">
        <w:rPr>
          <w:rFonts w:ascii="Verdana" w:hAnsi="Verdana"/>
          <w:sz w:val="21"/>
          <w:szCs w:val="21"/>
        </w:rPr>
        <w:t>IX</w:t>
      </w:r>
      <w:r w:rsidR="009F5698" w:rsidRPr="008D233F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08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8D233F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8D233F">
        <w:rPr>
          <w:rFonts w:ascii="Verdana" w:hAnsi="Verdana"/>
          <w:sz w:val="21"/>
          <w:szCs w:val="21"/>
        </w:rPr>
        <w:t>á</w:t>
      </w:r>
      <w:proofErr w:type="spellEnd"/>
      <w:r w:rsidRPr="008D233F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A) Advertência;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8D233F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D233F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Multa de 20% (vinte por cento) sobre o valor do saldo da Ata de Registro de Preços, nos casos: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transferência total ou parcial da Ata de Registro de Preços a terceiros;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c) subcontratação no todo ou em parte do objeto sem prévia autorização formal </w:t>
      </w:r>
      <w:r w:rsidRPr="008D233F">
        <w:rPr>
          <w:rFonts w:ascii="Verdana" w:eastAsia="Symbol" w:hAnsi="Verdana" w:cs="Arial"/>
          <w:sz w:val="21"/>
          <w:szCs w:val="21"/>
        </w:rPr>
        <w:t>do Município</w:t>
      </w:r>
      <w:r w:rsidRPr="008D233F">
        <w:rPr>
          <w:rFonts w:ascii="Verdana" w:hAnsi="Verdana" w:cs="Arial"/>
          <w:sz w:val="21"/>
          <w:szCs w:val="21"/>
        </w:rPr>
        <w:t>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descumprimento de cláusula da Ata de Registro de Preços.</w:t>
      </w: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- </w:t>
      </w:r>
      <w:r w:rsidRPr="008D233F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– O licitante que não respeitar o limite do Preço Fabricante conforme Orientação </w:t>
      </w:r>
      <w:bookmarkStart w:id="2" w:name="__DdeLink__4400_2835009959"/>
      <w:r w:rsidRPr="008D233F">
        <w:rPr>
          <w:rFonts w:ascii="Verdana" w:hAnsi="Verdana"/>
          <w:sz w:val="21"/>
          <w:szCs w:val="21"/>
        </w:rPr>
        <w:t>Interpretativa</w:t>
      </w:r>
      <w:bookmarkEnd w:id="2"/>
      <w:r w:rsidRPr="008D233F">
        <w:rPr>
          <w:rFonts w:ascii="Verdana" w:hAnsi="Verdana"/>
          <w:sz w:val="21"/>
          <w:szCs w:val="21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8D233F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8D233F">
        <w:rPr>
          <w:rFonts w:ascii="Verdana" w:hAnsi="Verdana"/>
          <w:sz w:val="21"/>
          <w:szCs w:val="21"/>
        </w:rPr>
        <w:t>e Ministério Públicos Federal e Estadual.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09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 xml:space="preserve">, que integra </w:t>
      </w:r>
      <w:r w:rsidRPr="008D233F">
        <w:rPr>
          <w:rFonts w:ascii="Verdana" w:hAnsi="Verdana"/>
          <w:sz w:val="21"/>
          <w:szCs w:val="21"/>
        </w:rPr>
        <w:lastRenderedPageBreak/>
        <w:t>a presente Ata de Registro de Preços, ressalvados os casos de revisão de registro a que se refere o Decreto instituidor do Registro de preços.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10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8D233F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8D233F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B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C </w:t>
      </w:r>
      <w:r w:rsidRPr="008D233F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D </w:t>
      </w:r>
      <w:r w:rsidRPr="008D233F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8D233F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 </w:t>
      </w:r>
      <w:r w:rsidRPr="008D233F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F </w:t>
      </w:r>
      <w:r w:rsidRPr="008D233F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G </w:t>
      </w:r>
      <w:r w:rsidRPr="008D233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8D233F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b/>
          <w:sz w:val="21"/>
          <w:szCs w:val="21"/>
        </w:rPr>
        <w:t>Pelas detentoras, quando</w:t>
      </w:r>
      <w:r w:rsidRPr="008D233F">
        <w:rPr>
          <w:rFonts w:ascii="Verdana" w:hAnsi="Verdana" w:cs="Arial"/>
          <w:sz w:val="21"/>
          <w:szCs w:val="21"/>
        </w:rPr>
        <w:t xml:space="preserve">, mediante solicitação por escrito, comprovarem estar impossibilitadas de cumprir as exigências desta Ata de Registro de Preços, ou, a juízo da Administração, quando comprovada a ocorrência de qualquer das </w:t>
      </w:r>
      <w:r w:rsidRPr="008D233F">
        <w:rPr>
          <w:rFonts w:ascii="Verdana" w:hAnsi="Verdana" w:cs="Arial"/>
          <w:sz w:val="21"/>
          <w:szCs w:val="21"/>
        </w:rPr>
        <w:lastRenderedPageBreak/>
        <w:t>hipóteses previstas no art. 78, incisos XIII a XVI, da Lei Federal 8.666/93, alterada pela Lei Federal 8.883/94.</w:t>
      </w:r>
    </w:p>
    <w:p w:rsidR="006E6714" w:rsidRPr="008D233F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8D233F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</w:t>
      </w:r>
      <w:r w:rsidRPr="008D233F">
        <w:rPr>
          <w:rFonts w:ascii="Verdana" w:hAnsi="Verdana"/>
          <w:b/>
          <w:sz w:val="21"/>
          <w:szCs w:val="21"/>
        </w:rPr>
        <w:t xml:space="preserve"> </w:t>
      </w:r>
      <w:r w:rsidRPr="008D233F">
        <w:rPr>
          <w:rFonts w:ascii="Verdana" w:hAnsi="Verdana"/>
          <w:b/>
          <w:sz w:val="21"/>
          <w:szCs w:val="21"/>
        </w:rPr>
        <w:noBreakHyphen/>
      </w:r>
      <w:r w:rsidRPr="008D233F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8D233F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Papagaios, </w:t>
      </w:r>
      <w:r w:rsidR="00143111" w:rsidRPr="008D233F">
        <w:rPr>
          <w:rFonts w:ascii="Verdana" w:hAnsi="Verdana"/>
          <w:sz w:val="21"/>
          <w:szCs w:val="21"/>
        </w:rPr>
        <w:t>28 de maio de 2019</w:t>
      </w: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D233F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9A40A2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Biohosp</w:t>
      </w:r>
      <w:proofErr w:type="spellEnd"/>
      <w:r>
        <w:rPr>
          <w:rFonts w:ascii="Verdana" w:hAnsi="Verdana" w:cs="Arial"/>
          <w:sz w:val="21"/>
          <w:szCs w:val="21"/>
        </w:rPr>
        <w:t xml:space="preserve"> Produtos Hospitalares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</w:p>
    <w:p w:rsidR="006E6714" w:rsidRPr="008D233F" w:rsidRDefault="004D1D2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CNPJ/MF </w:t>
      </w:r>
      <w:r w:rsidR="009A40A2">
        <w:rPr>
          <w:rFonts w:ascii="Verdana" w:hAnsi="Verdana" w:cs="Arial"/>
          <w:sz w:val="21"/>
          <w:szCs w:val="21"/>
        </w:rPr>
        <w:t>18.629.125/0001-87</w:t>
      </w: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sectPr w:rsidR="006E6714" w:rsidRPr="008D23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0A" w:rsidRDefault="00E0670A">
      <w:r>
        <w:separator/>
      </w:r>
    </w:p>
  </w:endnote>
  <w:endnote w:type="continuationSeparator" w:id="0">
    <w:p w:rsidR="00E0670A" w:rsidRDefault="00E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CC" w:rsidRDefault="003248CC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0A" w:rsidRDefault="00E0670A">
      <w:r>
        <w:separator/>
      </w:r>
    </w:p>
  </w:footnote>
  <w:footnote w:type="continuationSeparator" w:id="0">
    <w:p w:rsidR="00E0670A" w:rsidRDefault="00E06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3248C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48CC" w:rsidRDefault="003248C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248C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248CC" w:rsidRDefault="003248CC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06827"/>
    <w:rsid w:val="000721DA"/>
    <w:rsid w:val="000828FC"/>
    <w:rsid w:val="000E61B6"/>
    <w:rsid w:val="00116B3D"/>
    <w:rsid w:val="001369A1"/>
    <w:rsid w:val="00143111"/>
    <w:rsid w:val="00183DE2"/>
    <w:rsid w:val="00197813"/>
    <w:rsid w:val="001B5682"/>
    <w:rsid w:val="001C2839"/>
    <w:rsid w:val="001F7F03"/>
    <w:rsid w:val="00237F98"/>
    <w:rsid w:val="002756C7"/>
    <w:rsid w:val="002A3520"/>
    <w:rsid w:val="002B591A"/>
    <w:rsid w:val="002E7725"/>
    <w:rsid w:val="002F1CD4"/>
    <w:rsid w:val="00303269"/>
    <w:rsid w:val="003248CC"/>
    <w:rsid w:val="003773F4"/>
    <w:rsid w:val="003778D9"/>
    <w:rsid w:val="003866D5"/>
    <w:rsid w:val="00392AA7"/>
    <w:rsid w:val="003A1C28"/>
    <w:rsid w:val="003C34B1"/>
    <w:rsid w:val="003E04E2"/>
    <w:rsid w:val="003F4CFD"/>
    <w:rsid w:val="00466A22"/>
    <w:rsid w:val="004C2424"/>
    <w:rsid w:val="004D1D28"/>
    <w:rsid w:val="004E565F"/>
    <w:rsid w:val="004E5CF9"/>
    <w:rsid w:val="004F6117"/>
    <w:rsid w:val="00533ED4"/>
    <w:rsid w:val="00542879"/>
    <w:rsid w:val="00545ABF"/>
    <w:rsid w:val="00575ADE"/>
    <w:rsid w:val="005D1066"/>
    <w:rsid w:val="0064487A"/>
    <w:rsid w:val="006525AC"/>
    <w:rsid w:val="006534B2"/>
    <w:rsid w:val="00664009"/>
    <w:rsid w:val="00690CE2"/>
    <w:rsid w:val="00692B90"/>
    <w:rsid w:val="006C51E6"/>
    <w:rsid w:val="006D2552"/>
    <w:rsid w:val="006E6714"/>
    <w:rsid w:val="006E700D"/>
    <w:rsid w:val="00771397"/>
    <w:rsid w:val="00772ACD"/>
    <w:rsid w:val="0077674F"/>
    <w:rsid w:val="00780D50"/>
    <w:rsid w:val="00792E7D"/>
    <w:rsid w:val="00796B47"/>
    <w:rsid w:val="00797444"/>
    <w:rsid w:val="0079757A"/>
    <w:rsid w:val="007B0BBC"/>
    <w:rsid w:val="007D6906"/>
    <w:rsid w:val="007E0B83"/>
    <w:rsid w:val="007F74A8"/>
    <w:rsid w:val="007F7D95"/>
    <w:rsid w:val="00804BAF"/>
    <w:rsid w:val="008069C4"/>
    <w:rsid w:val="00847BDB"/>
    <w:rsid w:val="008C316D"/>
    <w:rsid w:val="008D233F"/>
    <w:rsid w:val="009218FA"/>
    <w:rsid w:val="00963649"/>
    <w:rsid w:val="0099080E"/>
    <w:rsid w:val="009921C1"/>
    <w:rsid w:val="009943A3"/>
    <w:rsid w:val="00997C10"/>
    <w:rsid w:val="009A40A2"/>
    <w:rsid w:val="009D2C3A"/>
    <w:rsid w:val="009F5698"/>
    <w:rsid w:val="00A05F58"/>
    <w:rsid w:val="00A21200"/>
    <w:rsid w:val="00A54ECD"/>
    <w:rsid w:val="00A5702F"/>
    <w:rsid w:val="00A855AF"/>
    <w:rsid w:val="00A85EB1"/>
    <w:rsid w:val="00A90F04"/>
    <w:rsid w:val="00B04167"/>
    <w:rsid w:val="00B062D9"/>
    <w:rsid w:val="00B15F5E"/>
    <w:rsid w:val="00B16D2C"/>
    <w:rsid w:val="00B712A2"/>
    <w:rsid w:val="00C05C9D"/>
    <w:rsid w:val="00C7594C"/>
    <w:rsid w:val="00C92720"/>
    <w:rsid w:val="00CA4EC6"/>
    <w:rsid w:val="00D21D9B"/>
    <w:rsid w:val="00D93E74"/>
    <w:rsid w:val="00DB38D6"/>
    <w:rsid w:val="00DD04CA"/>
    <w:rsid w:val="00DD10E9"/>
    <w:rsid w:val="00DE2353"/>
    <w:rsid w:val="00DE60FC"/>
    <w:rsid w:val="00E05B72"/>
    <w:rsid w:val="00E0670A"/>
    <w:rsid w:val="00E30DBF"/>
    <w:rsid w:val="00E50FAD"/>
    <w:rsid w:val="00E556CA"/>
    <w:rsid w:val="00E912FF"/>
    <w:rsid w:val="00E92E71"/>
    <w:rsid w:val="00E979BD"/>
    <w:rsid w:val="00EA2ED0"/>
    <w:rsid w:val="00EB4170"/>
    <w:rsid w:val="00EB4408"/>
    <w:rsid w:val="00F2331D"/>
    <w:rsid w:val="00F52FCA"/>
    <w:rsid w:val="00F6410D"/>
    <w:rsid w:val="00F82F7A"/>
    <w:rsid w:val="00F87482"/>
    <w:rsid w:val="00FB31B9"/>
    <w:rsid w:val="00FB755C"/>
    <w:rsid w:val="00FC62DB"/>
    <w:rsid w:val="00FE33C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2497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10</cp:revision>
  <cp:lastPrinted>2018-03-21T16:09:00Z</cp:lastPrinted>
  <dcterms:created xsi:type="dcterms:W3CDTF">2019-06-21T18:16:00Z</dcterms:created>
  <dcterms:modified xsi:type="dcterms:W3CDTF">2019-06-21T18:24:00Z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